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sdt>
      <w:sdtPr>
        <w:rPr>
          <w:rFonts w:asciiTheme="majorHAnsi" w:eastAsiaTheme="majorEastAsia" w:hAnsiTheme="majorHAnsi" w:cstheme="majorBidi"/>
          <w:sz w:val="72"/>
          <w:szCs w:val="72"/>
        </w:rPr>
        <w:id w:val="2249395"/>
        <w:docPartObj>
          <w:docPartGallery w:val="Cover Pages"/>
          <w:docPartUnique/>
        </w:docPartObj>
      </w:sdtPr>
      <w:sdtEndPr>
        <w:rPr>
          <w:rFonts w:asciiTheme="minorHAnsi" w:eastAsiaTheme="minorHAnsi" w:hAnsiTheme="minorHAnsi" w:cstheme="minorBidi"/>
          <w:b/>
          <w:sz w:val="28"/>
          <w:szCs w:val="28"/>
          <w:u w:val="single"/>
        </w:rPr>
      </w:sdtEndPr>
      <w:sdtContent>
        <w:p w:rsidR="00AB1A20" w:rsidRDefault="001E2EC3">
          <w:pPr>
            <w:pStyle w:val="NoSpacing"/>
            <w:rPr>
              <w:rFonts w:asciiTheme="majorHAnsi" w:eastAsiaTheme="majorEastAsia" w:hAnsiTheme="majorHAnsi" w:cstheme="majorBidi"/>
              <w:sz w:val="72"/>
              <w:szCs w:val="72"/>
            </w:rPr>
          </w:pPr>
          <w:r w:rsidRPr="001E2EC3">
            <w:rPr>
              <w:noProof/>
              <w:lang w:val="en-US" w:eastAsia="zh-TW"/>
            </w:rPr>
            <w:pict>
              <v:rect id="_x0000_s1029" style="position:absolute;margin-left:57.45pt;margin-top:-18pt;width:7.15pt;height:879.05pt;z-index:251663360;mso-height-percent:1050;mso-position-horizontal-relative:left-margin-area;mso-position-vertical-relative:page;mso-height-percent:1050" o:allowincell="f" fillcolor="white [3201]" strokecolor="#c0504d [3205]" strokeweight="5pt">
                <v:stroke linestyle="thickThin"/>
                <v:shadow color="#868686"/>
                <w10:wrap anchorx="margin" anchory="page"/>
              </v:rect>
            </w:pict>
          </w:r>
          <w:r w:rsidRPr="001E2EC3">
            <w:rPr>
              <w:color w:val="C00000"/>
            </w:rPr>
            <w:pict>
              <v:rect id="_x0000_s1027" style="position:absolute;margin-left:-13.35pt;margin-top:27.75pt;width:621pt;height:39pt;z-index:251661312;mso-width-percent:1050;mso-position-horizontal-relative:page;mso-position-vertical-relative:top-margin-area;mso-width-percent:1050;mso-height-relative:top-margin-area" o:allowincell="f" fillcolor="#c0504d [3205]" strokecolor="#c0504d [3205]" strokeweight="10pt">
                <v:stroke linestyle="thinThin"/>
                <v:shadow color="#868686"/>
                <w10:wrap anchorx="page" anchory="margin"/>
              </v:rect>
            </w:pict>
          </w:r>
          <w:r w:rsidRPr="001E2EC3">
            <w:rPr>
              <w:noProof/>
              <w:lang w:val="en-US" w:eastAsia="zh-TW"/>
            </w:rPr>
            <w:pict>
              <v:rect id="_x0000_s1028" style="position:absolute;margin-left:3.5pt;margin-top:-19.5pt;width:7.15pt;height:879.05pt;z-index:251662336;mso-height-percent:1050;mso-position-horizontal-relative:right-margin-area;mso-position-vertical-relative:page;mso-height-percent:1050" o:allowincell="f" fillcolor="white [3201]" strokecolor="#c0504d [3205]" strokeweight="5pt">
                <v:stroke linestyle="thickThin"/>
                <v:shadow color="#868686"/>
                <w10:wrap anchorx="page" anchory="page"/>
              </v:rect>
            </w:pict>
          </w:r>
        </w:p>
        <w:p w:rsidR="00AB1A20" w:rsidRPr="000E2748" w:rsidRDefault="00B36C13" w:rsidP="00B36C13">
          <w:pPr>
            <w:pStyle w:val="NoSpacing"/>
            <w:jc w:val="center"/>
            <w:rPr>
              <w:rFonts w:asciiTheme="majorHAnsi" w:eastAsiaTheme="majorEastAsia" w:hAnsiTheme="majorHAnsi" w:cstheme="majorBidi"/>
              <w:b/>
              <w:sz w:val="72"/>
              <w:szCs w:val="72"/>
            </w:rPr>
          </w:pPr>
          <w:r w:rsidRPr="00B36C13">
            <w:rPr>
              <w:rFonts w:asciiTheme="majorHAnsi" w:eastAsiaTheme="majorEastAsia" w:hAnsiTheme="majorHAnsi" w:cstheme="majorBidi"/>
              <w:b/>
              <w:noProof/>
              <w:sz w:val="72"/>
              <w:szCs w:val="72"/>
              <w:lang w:eastAsia="en-IN"/>
            </w:rPr>
            <w:drawing>
              <wp:inline distT="0" distB="0" distL="0" distR="0">
                <wp:extent cx="1676400" cy="1743075"/>
                <wp:effectExtent l="171450" t="133350" r="361950" b="314325"/>
                <wp:docPr id="1" name="Picture 1" descr="C:\Users\lenovo\Desktop\New folder\SE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SERC_Logo.jpg"/>
                        <pic:cNvPicPr>
                          <a:picLocks noChangeAspect="1" noChangeArrowheads="1"/>
                        </pic:cNvPicPr>
                      </pic:nvPicPr>
                      <pic:blipFill>
                        <a:blip r:embed="rId8"/>
                        <a:srcRect/>
                        <a:stretch>
                          <a:fillRect/>
                        </a:stretch>
                      </pic:blipFill>
                      <pic:spPr bwMode="auto">
                        <a:xfrm>
                          <a:off x="0" y="0"/>
                          <a:ext cx="1676400"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0B3BF5" w:rsidRDefault="000B3BF5" w:rsidP="00770AAE">
          <w:pPr>
            <w:rPr>
              <w:rFonts w:asciiTheme="majorHAnsi" w:hAnsiTheme="majorHAnsi"/>
              <w:sz w:val="72"/>
              <w:szCs w:val="72"/>
            </w:rPr>
          </w:pPr>
        </w:p>
        <w:sdt>
          <w:sdtPr>
            <w:rPr>
              <w:rFonts w:asciiTheme="majorHAnsi" w:eastAsiaTheme="majorEastAsia" w:hAnsiTheme="majorHAnsi" w:cstheme="majorBidi"/>
              <w:b/>
              <w:color w:val="C00000"/>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0B3BF5" w:rsidRPr="000B3BF5" w:rsidRDefault="000B3BF5" w:rsidP="000B3BF5">
              <w:pPr>
                <w:pStyle w:val="NoSpacing"/>
                <w:jc w:val="center"/>
                <w:rPr>
                  <w:rFonts w:asciiTheme="majorHAnsi" w:eastAsiaTheme="majorEastAsia" w:hAnsiTheme="majorHAnsi" w:cstheme="majorBidi"/>
                  <w:sz w:val="72"/>
                  <w:szCs w:val="72"/>
                </w:rPr>
              </w:pPr>
              <w:r w:rsidRPr="000E2748">
                <w:rPr>
                  <w:rFonts w:asciiTheme="majorHAnsi" w:eastAsiaTheme="majorEastAsia" w:hAnsiTheme="majorHAnsi" w:cstheme="majorBidi"/>
                  <w:b/>
                  <w:color w:val="C00000"/>
                  <w:sz w:val="72"/>
                  <w:szCs w:val="72"/>
                </w:rPr>
                <w:t>ANNUAL REPORT FOR THE YEAR 2014-15</w:t>
              </w:r>
            </w:p>
          </w:sdtContent>
        </w:sdt>
        <w:p w:rsidR="000B3BF5" w:rsidRPr="000B3BF5" w:rsidRDefault="000B3BF5">
          <w:pPr>
            <w:pStyle w:val="NoSpacing"/>
            <w:rPr>
              <w:rFonts w:asciiTheme="majorHAnsi" w:eastAsiaTheme="majorEastAsia" w:hAnsiTheme="majorHAnsi" w:cstheme="majorBidi"/>
              <w:sz w:val="36"/>
              <w:szCs w:val="36"/>
            </w:rPr>
          </w:pPr>
        </w:p>
        <w:p w:rsidR="000B3BF5" w:rsidRDefault="000B3BF5" w:rsidP="000B3BF5">
          <w:pPr>
            <w:pStyle w:val="NoSpacing"/>
            <w:jc w:val="center"/>
            <w:rPr>
              <w:rFonts w:asciiTheme="majorHAnsi" w:eastAsiaTheme="majorEastAsia" w:hAnsiTheme="majorHAnsi" w:cstheme="majorBidi"/>
              <w:b/>
              <w:sz w:val="44"/>
              <w:szCs w:val="44"/>
            </w:rPr>
          </w:pPr>
        </w:p>
        <w:p w:rsidR="000B3BF5" w:rsidRDefault="000B3BF5" w:rsidP="000B3BF5">
          <w:pPr>
            <w:pStyle w:val="NoSpacing"/>
            <w:jc w:val="center"/>
            <w:rPr>
              <w:rFonts w:asciiTheme="majorHAnsi" w:eastAsiaTheme="majorEastAsia" w:hAnsiTheme="majorHAnsi" w:cstheme="majorBidi"/>
              <w:b/>
              <w:sz w:val="44"/>
              <w:szCs w:val="44"/>
            </w:rPr>
          </w:pPr>
        </w:p>
        <w:p w:rsidR="000B3BF5" w:rsidRDefault="000B3BF5" w:rsidP="000537D7">
          <w:pPr>
            <w:pStyle w:val="NoSpacing"/>
            <w:rPr>
              <w:rFonts w:asciiTheme="majorHAnsi" w:eastAsiaTheme="majorEastAsia" w:hAnsiTheme="majorHAnsi" w:cstheme="majorBidi"/>
              <w:b/>
              <w:sz w:val="44"/>
              <w:szCs w:val="44"/>
            </w:rPr>
          </w:pPr>
        </w:p>
        <w:p w:rsidR="000B3BF5" w:rsidRPr="00B36C13" w:rsidRDefault="000B3BF5" w:rsidP="000B3BF5">
          <w:pPr>
            <w:pStyle w:val="NoSpacing"/>
            <w:jc w:val="center"/>
            <w:rPr>
              <w:rFonts w:asciiTheme="majorHAnsi" w:eastAsiaTheme="majorEastAsia" w:hAnsiTheme="majorHAnsi" w:cstheme="majorBidi"/>
              <w:b/>
              <w:color w:val="1F497D" w:themeColor="text2"/>
              <w:sz w:val="44"/>
              <w:szCs w:val="44"/>
            </w:rPr>
          </w:pPr>
        </w:p>
        <w:p w:rsidR="000B3BF5" w:rsidRPr="00B36C13" w:rsidRDefault="000B3BF5" w:rsidP="000B3BF5">
          <w:pPr>
            <w:pStyle w:val="NoSpacing"/>
            <w:jc w:val="center"/>
            <w:rPr>
              <w:rFonts w:asciiTheme="majorHAnsi" w:eastAsiaTheme="majorEastAsia" w:hAnsiTheme="majorHAnsi" w:cstheme="majorBidi"/>
              <w:b/>
              <w:color w:val="1F497D" w:themeColor="text2"/>
              <w:sz w:val="44"/>
              <w:szCs w:val="44"/>
            </w:rPr>
          </w:pPr>
          <w:r w:rsidRPr="00B36C13">
            <w:rPr>
              <w:rFonts w:asciiTheme="majorHAnsi" w:eastAsiaTheme="majorEastAsia" w:hAnsiTheme="majorHAnsi" w:cstheme="majorBidi"/>
              <w:b/>
              <w:color w:val="1F497D" w:themeColor="text2"/>
              <w:sz w:val="44"/>
              <w:szCs w:val="44"/>
            </w:rPr>
            <w:t>SIKKIM STATE ELECTRICITY REGULATORY COMMISSION</w:t>
          </w:r>
        </w:p>
        <w:p w:rsidR="000B3BF5" w:rsidRDefault="000B3BF5" w:rsidP="000B3BF5">
          <w:pPr>
            <w:pStyle w:val="NoSpacing"/>
            <w:jc w:val="center"/>
            <w:rPr>
              <w:rFonts w:asciiTheme="majorHAnsi" w:eastAsiaTheme="majorEastAsia" w:hAnsiTheme="majorHAnsi" w:cstheme="majorBidi"/>
              <w:b/>
              <w:sz w:val="44"/>
              <w:szCs w:val="44"/>
            </w:rPr>
          </w:pPr>
        </w:p>
        <w:p w:rsidR="000B3BF5" w:rsidRDefault="000B3BF5" w:rsidP="000E2748">
          <w:pPr>
            <w:pStyle w:val="NoSpacing"/>
            <w:rPr>
              <w:rFonts w:asciiTheme="majorHAnsi" w:eastAsiaTheme="majorEastAsia" w:hAnsiTheme="majorHAnsi" w:cstheme="majorBidi"/>
              <w:b/>
              <w:sz w:val="44"/>
              <w:szCs w:val="44"/>
            </w:rPr>
          </w:pPr>
        </w:p>
        <w:p w:rsidR="004044DB" w:rsidRDefault="004044DB" w:rsidP="000B3BF5">
          <w:pPr>
            <w:pStyle w:val="NoSpacing"/>
            <w:jc w:val="center"/>
            <w:rPr>
              <w:rFonts w:asciiTheme="majorHAnsi" w:eastAsiaTheme="majorEastAsia" w:hAnsiTheme="majorHAnsi" w:cstheme="majorBidi"/>
              <w:b/>
              <w:sz w:val="36"/>
              <w:szCs w:val="36"/>
            </w:rPr>
          </w:pPr>
        </w:p>
        <w:p w:rsidR="004044DB" w:rsidRDefault="004044DB" w:rsidP="000B3BF5">
          <w:pPr>
            <w:pStyle w:val="NoSpacing"/>
            <w:jc w:val="center"/>
            <w:rPr>
              <w:rFonts w:asciiTheme="majorHAnsi" w:eastAsiaTheme="majorEastAsia" w:hAnsiTheme="majorHAnsi" w:cstheme="majorBidi"/>
              <w:b/>
              <w:sz w:val="36"/>
              <w:szCs w:val="36"/>
            </w:rPr>
          </w:pPr>
        </w:p>
        <w:p w:rsidR="000B3BF5" w:rsidRPr="000B3BF5" w:rsidRDefault="000B3BF5" w:rsidP="000B3BF5">
          <w:pPr>
            <w:pStyle w:val="NoSpacing"/>
            <w:jc w:val="center"/>
            <w:rPr>
              <w:rFonts w:asciiTheme="majorHAnsi" w:eastAsiaTheme="majorEastAsia" w:hAnsiTheme="majorHAnsi" w:cstheme="majorBidi"/>
              <w:b/>
              <w:sz w:val="36"/>
              <w:szCs w:val="36"/>
            </w:rPr>
          </w:pPr>
          <w:r w:rsidRPr="000B3BF5">
            <w:rPr>
              <w:rFonts w:asciiTheme="majorHAnsi" w:eastAsiaTheme="majorEastAsia" w:hAnsiTheme="majorHAnsi" w:cstheme="majorBidi"/>
              <w:b/>
              <w:sz w:val="36"/>
              <w:szCs w:val="36"/>
            </w:rPr>
            <w:t>MAY 2015</w:t>
          </w:r>
        </w:p>
        <w:p w:rsidR="000B3BF5" w:rsidRPr="000B3BF5" w:rsidRDefault="000B3BF5" w:rsidP="000B3BF5">
          <w:pPr>
            <w:pStyle w:val="NoSpacing"/>
            <w:jc w:val="center"/>
            <w:rPr>
              <w:rFonts w:asciiTheme="majorHAnsi" w:eastAsiaTheme="majorEastAsia" w:hAnsiTheme="majorHAnsi" w:cstheme="majorBidi"/>
              <w:b/>
              <w:sz w:val="44"/>
              <w:szCs w:val="44"/>
            </w:rPr>
          </w:pPr>
        </w:p>
        <w:p w:rsidR="000B3BF5" w:rsidRDefault="000B3BF5"/>
        <w:p w:rsidR="00963280" w:rsidRDefault="001E2EC3" w:rsidP="006405E8">
          <w:pPr>
            <w:rPr>
              <w:b/>
              <w:sz w:val="28"/>
              <w:szCs w:val="28"/>
              <w:u w:val="single"/>
            </w:rPr>
          </w:pPr>
        </w:p>
      </w:sdtContent>
    </w:sdt>
    <w:p w:rsidR="00963280" w:rsidRDefault="001E2EC3" w:rsidP="00AE5B3C">
      <w:pPr>
        <w:pStyle w:val="NoSpacing"/>
        <w:jc w:val="center"/>
        <w:rPr>
          <w:b/>
          <w:sz w:val="28"/>
          <w:szCs w:val="28"/>
          <w:u w:val="single"/>
        </w:rPr>
      </w:pPr>
      <w:r w:rsidRPr="001E2EC3">
        <w:rPr>
          <w:noProof/>
          <w:lang w:val="en-US" w:eastAsia="zh-TW"/>
        </w:rPr>
        <w:pict>
          <v:rect id="_x0000_s1026" style="position:absolute;left:0;text-align:left;margin-left:-8.4pt;margin-top:779.25pt;width:615.1pt;height:32.25pt;z-index:251660288;mso-width-percent:1050;mso-position-horizontal-relative:page;mso-position-vertical-relative:page;mso-width-percent:1050;mso-height-relative:top-margin-area" o:allowincell="f" fillcolor="#c0504d [3205]" strokecolor="#c0504d [3205]" strokeweight="10pt">
            <v:stroke linestyle="thinThin"/>
            <v:shadow color="#868686"/>
            <w10:wrap anchorx="page" anchory="page"/>
          </v:rect>
        </w:pict>
      </w:r>
    </w:p>
    <w:p w:rsidR="00963280" w:rsidRDefault="00963280" w:rsidP="00AE5B3C">
      <w:pPr>
        <w:pStyle w:val="NoSpacing"/>
        <w:jc w:val="center"/>
        <w:rPr>
          <w:b/>
          <w:sz w:val="28"/>
          <w:szCs w:val="28"/>
          <w:u w:val="single"/>
        </w:rPr>
      </w:pPr>
    </w:p>
    <w:p w:rsidR="00963280" w:rsidRDefault="00E03C33" w:rsidP="00AE5B3C">
      <w:pPr>
        <w:pStyle w:val="NoSpacing"/>
        <w:jc w:val="center"/>
        <w:rPr>
          <w:b/>
          <w:sz w:val="28"/>
          <w:szCs w:val="28"/>
          <w:u w:val="single"/>
        </w:rPr>
      </w:pPr>
      <w:r w:rsidRPr="00E03C33">
        <w:rPr>
          <w:b/>
          <w:noProof/>
          <w:sz w:val="28"/>
          <w:szCs w:val="28"/>
          <w:u w:val="single"/>
          <w:lang w:eastAsia="en-IN"/>
        </w:rPr>
        <w:lastRenderedPageBreak/>
        <w:drawing>
          <wp:inline distT="0" distB="0" distL="0" distR="0">
            <wp:extent cx="1152525" cy="1028700"/>
            <wp:effectExtent l="19050" t="0" r="9525" b="0"/>
            <wp:docPr id="5" name="Picture 1" descr="C:\Users\lenovo\Desktop\New folder\TT s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TT saab.JPG"/>
                    <pic:cNvPicPr>
                      <a:picLocks noChangeAspect="1" noChangeArrowheads="1"/>
                    </pic:cNvPicPr>
                  </pic:nvPicPr>
                  <pic:blipFill>
                    <a:blip r:embed="rId9" cstate="print"/>
                    <a:srcRect/>
                    <a:stretch>
                      <a:fillRect/>
                    </a:stretch>
                  </pic:blipFill>
                  <pic:spPr bwMode="auto">
                    <a:xfrm>
                      <a:off x="0" y="0"/>
                      <a:ext cx="1152525" cy="1028700"/>
                    </a:xfrm>
                    <a:prstGeom prst="rect">
                      <a:avLst/>
                    </a:prstGeom>
                    <a:noFill/>
                    <a:ln w="9525">
                      <a:noFill/>
                      <a:miter lim="800000"/>
                      <a:headEnd/>
                      <a:tailEnd/>
                    </a:ln>
                  </pic:spPr>
                </pic:pic>
              </a:graphicData>
            </a:graphic>
          </wp:inline>
        </w:drawing>
      </w:r>
    </w:p>
    <w:p w:rsidR="00E03C33" w:rsidRPr="00E03C33" w:rsidRDefault="00E03C33" w:rsidP="00AE5B3C">
      <w:pPr>
        <w:pStyle w:val="NoSpacing"/>
        <w:jc w:val="center"/>
        <w:rPr>
          <w:b/>
          <w:sz w:val="28"/>
          <w:szCs w:val="28"/>
        </w:rPr>
      </w:pPr>
      <w:r w:rsidRPr="00E03C33">
        <w:rPr>
          <w:b/>
          <w:sz w:val="28"/>
          <w:szCs w:val="28"/>
        </w:rPr>
        <w:t>Shri. T.T Dorji</w:t>
      </w:r>
    </w:p>
    <w:p w:rsidR="00E03C33" w:rsidRDefault="00E03C33" w:rsidP="00AE5B3C">
      <w:pPr>
        <w:pStyle w:val="NoSpacing"/>
        <w:jc w:val="center"/>
        <w:rPr>
          <w:b/>
          <w:sz w:val="28"/>
          <w:szCs w:val="28"/>
          <w:u w:val="single"/>
        </w:rPr>
      </w:pPr>
    </w:p>
    <w:p w:rsidR="00963280" w:rsidRDefault="00E03C33" w:rsidP="00AE5B3C">
      <w:pPr>
        <w:pStyle w:val="NoSpacing"/>
        <w:jc w:val="center"/>
        <w:rPr>
          <w:b/>
          <w:sz w:val="28"/>
          <w:szCs w:val="28"/>
          <w:u w:val="single"/>
        </w:rPr>
      </w:pPr>
      <w:r>
        <w:rPr>
          <w:b/>
          <w:sz w:val="28"/>
          <w:szCs w:val="28"/>
          <w:u w:val="single"/>
        </w:rPr>
        <w:t xml:space="preserve">From the </w:t>
      </w:r>
      <w:r w:rsidR="001C0641">
        <w:rPr>
          <w:b/>
          <w:sz w:val="28"/>
          <w:szCs w:val="28"/>
          <w:u w:val="single"/>
        </w:rPr>
        <w:t xml:space="preserve">desk of the </w:t>
      </w:r>
      <w:r>
        <w:rPr>
          <w:b/>
          <w:sz w:val="28"/>
          <w:szCs w:val="28"/>
          <w:u w:val="single"/>
        </w:rPr>
        <w:t>Chairperson</w:t>
      </w:r>
    </w:p>
    <w:p w:rsidR="00E03C33" w:rsidRDefault="00E03C33" w:rsidP="00E03C33">
      <w:pPr>
        <w:pStyle w:val="NoSpacing"/>
        <w:jc w:val="both"/>
        <w:rPr>
          <w:sz w:val="28"/>
          <w:szCs w:val="28"/>
        </w:rPr>
      </w:pPr>
      <w:r>
        <w:rPr>
          <w:sz w:val="28"/>
          <w:szCs w:val="28"/>
        </w:rPr>
        <w:tab/>
      </w:r>
    </w:p>
    <w:p w:rsidR="00E03C33" w:rsidRDefault="00E03C33" w:rsidP="00E03C33">
      <w:pPr>
        <w:pStyle w:val="NoSpacing"/>
        <w:ind w:left="720"/>
        <w:jc w:val="both"/>
        <w:rPr>
          <w:sz w:val="28"/>
          <w:szCs w:val="28"/>
        </w:rPr>
      </w:pPr>
      <w:r>
        <w:rPr>
          <w:sz w:val="28"/>
          <w:szCs w:val="28"/>
        </w:rPr>
        <w:t>The Electricity Act, 2</w:t>
      </w:r>
      <w:r w:rsidR="001C0641">
        <w:rPr>
          <w:sz w:val="28"/>
          <w:szCs w:val="28"/>
        </w:rPr>
        <w:t>003 was enacted with the aim of</w:t>
      </w:r>
      <w:r>
        <w:rPr>
          <w:sz w:val="28"/>
          <w:szCs w:val="28"/>
        </w:rPr>
        <w:t xml:space="preserve"> reforming the electricity sector in the Country by ushering in openness, transparency and accountability. The Act is a mandate for the Regulators to work relentlessly for achieving the desired results as set out in the National Electricity Policy and Tariff Policy. </w:t>
      </w:r>
    </w:p>
    <w:p w:rsidR="003D08E8" w:rsidRDefault="003D08E8" w:rsidP="00E03C33">
      <w:pPr>
        <w:pStyle w:val="NoSpacing"/>
        <w:ind w:left="720"/>
        <w:jc w:val="both"/>
        <w:rPr>
          <w:sz w:val="28"/>
          <w:szCs w:val="28"/>
        </w:rPr>
      </w:pPr>
    </w:p>
    <w:p w:rsidR="00963280" w:rsidRDefault="00BB630B" w:rsidP="00EB3A90">
      <w:pPr>
        <w:pStyle w:val="NoSpacing"/>
        <w:ind w:left="720"/>
        <w:jc w:val="both"/>
        <w:rPr>
          <w:sz w:val="28"/>
          <w:szCs w:val="28"/>
        </w:rPr>
      </w:pPr>
      <w:r>
        <w:rPr>
          <w:sz w:val="28"/>
          <w:szCs w:val="28"/>
        </w:rPr>
        <w:t>The onerous</w:t>
      </w:r>
      <w:r w:rsidR="00EB3A90">
        <w:rPr>
          <w:sz w:val="28"/>
          <w:szCs w:val="28"/>
        </w:rPr>
        <w:t xml:space="preserve"> efforts of the various State Reg</w:t>
      </w:r>
      <w:r>
        <w:rPr>
          <w:sz w:val="28"/>
          <w:szCs w:val="28"/>
        </w:rPr>
        <w:t>ulators have to a certain extent</w:t>
      </w:r>
      <w:r w:rsidR="001C0641">
        <w:rPr>
          <w:sz w:val="28"/>
          <w:szCs w:val="28"/>
        </w:rPr>
        <w:t xml:space="preserve"> helped shape</w:t>
      </w:r>
      <w:r w:rsidR="00EB3A90">
        <w:rPr>
          <w:sz w:val="28"/>
          <w:szCs w:val="28"/>
        </w:rPr>
        <w:t xml:space="preserve"> the electricity sector. Today, the electricity sector in the Country is developing at a much </w:t>
      </w:r>
      <w:r w:rsidR="001C0641">
        <w:rPr>
          <w:sz w:val="28"/>
          <w:szCs w:val="28"/>
        </w:rPr>
        <w:t>faster</w:t>
      </w:r>
      <w:r w:rsidR="00EB3A90">
        <w:rPr>
          <w:sz w:val="28"/>
          <w:szCs w:val="28"/>
        </w:rPr>
        <w:t xml:space="preserve"> pace and </w:t>
      </w:r>
      <w:r w:rsidR="000B5BBA">
        <w:rPr>
          <w:sz w:val="28"/>
          <w:szCs w:val="28"/>
        </w:rPr>
        <w:t xml:space="preserve">electricity has </w:t>
      </w:r>
      <w:r>
        <w:rPr>
          <w:sz w:val="28"/>
          <w:szCs w:val="28"/>
        </w:rPr>
        <w:t xml:space="preserve">started reaching </w:t>
      </w:r>
      <w:r w:rsidR="000B5BBA">
        <w:rPr>
          <w:sz w:val="28"/>
          <w:szCs w:val="28"/>
        </w:rPr>
        <w:t xml:space="preserve"> the “poorest of the poor” and to the remotest parts of the Country. However, in terms of reliable 24x7  supply , reasonableness of  price and quality of supply, much needs to be done</w:t>
      </w:r>
      <w:r w:rsidR="00533854">
        <w:rPr>
          <w:sz w:val="28"/>
          <w:szCs w:val="28"/>
        </w:rPr>
        <w:t xml:space="preserve"> especially in view of the fact that per capita consumption of electricity i</w:t>
      </w:r>
      <w:r w:rsidR="001C0641">
        <w:rPr>
          <w:sz w:val="28"/>
          <w:szCs w:val="28"/>
        </w:rPr>
        <w:t xml:space="preserve">s an indicator of the progress and </w:t>
      </w:r>
      <w:r w:rsidR="00533854">
        <w:rPr>
          <w:sz w:val="28"/>
          <w:szCs w:val="28"/>
        </w:rPr>
        <w:t xml:space="preserve">development of a nation. </w:t>
      </w:r>
      <w:r w:rsidR="0034148E">
        <w:rPr>
          <w:sz w:val="28"/>
          <w:szCs w:val="28"/>
        </w:rPr>
        <w:t>Changing of the mindset and the realization that it is the duty of all stake holders including the consumers to work</w:t>
      </w:r>
      <w:r w:rsidR="0034148E" w:rsidRPr="00EB3A90">
        <w:rPr>
          <w:sz w:val="28"/>
          <w:szCs w:val="28"/>
        </w:rPr>
        <w:t xml:space="preserve"> </w:t>
      </w:r>
      <w:r w:rsidR="0034148E">
        <w:rPr>
          <w:sz w:val="28"/>
          <w:szCs w:val="28"/>
        </w:rPr>
        <w:t>collectively towards achieving the des</w:t>
      </w:r>
      <w:r w:rsidR="00D429AF">
        <w:rPr>
          <w:sz w:val="28"/>
          <w:szCs w:val="28"/>
        </w:rPr>
        <w:t>ired results is still found lacking and there is a long way to go</w:t>
      </w:r>
      <w:r w:rsidR="00DF5D97">
        <w:rPr>
          <w:sz w:val="28"/>
          <w:szCs w:val="28"/>
        </w:rPr>
        <w:t xml:space="preserve"> both for the Regulators and the utilities</w:t>
      </w:r>
      <w:r w:rsidR="0034148E">
        <w:rPr>
          <w:sz w:val="28"/>
          <w:szCs w:val="28"/>
        </w:rPr>
        <w:t>.</w:t>
      </w:r>
    </w:p>
    <w:p w:rsidR="00A867D8" w:rsidRDefault="00A867D8" w:rsidP="0055047C">
      <w:pPr>
        <w:pStyle w:val="NoSpacing"/>
        <w:jc w:val="both"/>
        <w:rPr>
          <w:sz w:val="28"/>
          <w:szCs w:val="28"/>
        </w:rPr>
      </w:pPr>
    </w:p>
    <w:p w:rsidR="00A867D8" w:rsidRDefault="00A867D8" w:rsidP="00EB3A90">
      <w:pPr>
        <w:pStyle w:val="NoSpacing"/>
        <w:ind w:left="720"/>
        <w:jc w:val="both"/>
        <w:rPr>
          <w:sz w:val="28"/>
          <w:szCs w:val="28"/>
        </w:rPr>
      </w:pPr>
      <w:r>
        <w:rPr>
          <w:sz w:val="28"/>
          <w:szCs w:val="28"/>
        </w:rPr>
        <w:t xml:space="preserve">The Government of India has given </w:t>
      </w:r>
      <w:r w:rsidR="00F93EEB">
        <w:rPr>
          <w:sz w:val="28"/>
          <w:szCs w:val="28"/>
        </w:rPr>
        <w:t>special</w:t>
      </w:r>
      <w:r>
        <w:rPr>
          <w:sz w:val="28"/>
          <w:szCs w:val="28"/>
        </w:rPr>
        <w:t xml:space="preserve"> thrust to the development of Renewable Energy in the Country</w:t>
      </w:r>
      <w:r w:rsidR="000B3898">
        <w:rPr>
          <w:sz w:val="28"/>
          <w:szCs w:val="28"/>
        </w:rPr>
        <w:t xml:space="preserve">. The Jawaharlal National Solar Mission has set </w:t>
      </w:r>
      <w:r w:rsidR="0055047C">
        <w:rPr>
          <w:sz w:val="28"/>
          <w:szCs w:val="28"/>
        </w:rPr>
        <w:t>a target</w:t>
      </w:r>
      <w:r>
        <w:rPr>
          <w:sz w:val="28"/>
          <w:szCs w:val="28"/>
        </w:rPr>
        <w:t xml:space="preserve"> of 2</w:t>
      </w:r>
      <w:r w:rsidR="000B3898">
        <w:rPr>
          <w:sz w:val="28"/>
          <w:szCs w:val="28"/>
        </w:rPr>
        <w:t>0,000 MW</w:t>
      </w:r>
      <w:r>
        <w:rPr>
          <w:sz w:val="28"/>
          <w:szCs w:val="28"/>
        </w:rPr>
        <w:t xml:space="preserve"> by 20</w:t>
      </w:r>
      <w:r w:rsidR="00F93EEB">
        <w:rPr>
          <w:sz w:val="28"/>
          <w:szCs w:val="28"/>
        </w:rPr>
        <w:t>2</w:t>
      </w:r>
      <w:r w:rsidR="000B3898">
        <w:rPr>
          <w:sz w:val="28"/>
          <w:szCs w:val="28"/>
        </w:rPr>
        <w:t>2</w:t>
      </w:r>
      <w:r w:rsidR="00F93EEB">
        <w:rPr>
          <w:sz w:val="28"/>
          <w:szCs w:val="28"/>
        </w:rPr>
        <w:t xml:space="preserve">. </w:t>
      </w:r>
      <w:r w:rsidR="001C0641">
        <w:rPr>
          <w:sz w:val="28"/>
          <w:szCs w:val="28"/>
        </w:rPr>
        <w:t xml:space="preserve">The target is </w:t>
      </w:r>
      <w:r w:rsidR="0032519E">
        <w:rPr>
          <w:sz w:val="28"/>
          <w:szCs w:val="28"/>
        </w:rPr>
        <w:t xml:space="preserve"> huge and </w:t>
      </w:r>
      <w:r w:rsidR="00523733">
        <w:rPr>
          <w:sz w:val="28"/>
          <w:szCs w:val="28"/>
        </w:rPr>
        <w:t>challenging</w:t>
      </w:r>
      <w:r w:rsidR="0032519E">
        <w:rPr>
          <w:sz w:val="28"/>
          <w:szCs w:val="28"/>
        </w:rPr>
        <w:t xml:space="preserve"> but achievable. </w:t>
      </w:r>
      <w:r w:rsidR="00465EE0">
        <w:rPr>
          <w:sz w:val="28"/>
          <w:szCs w:val="28"/>
        </w:rPr>
        <w:t xml:space="preserve">The </w:t>
      </w:r>
      <w:r w:rsidR="00985198">
        <w:rPr>
          <w:sz w:val="28"/>
          <w:szCs w:val="28"/>
        </w:rPr>
        <w:t>concept of Grid Integrated Solar Power</w:t>
      </w:r>
      <w:r w:rsidR="00DB24A3">
        <w:rPr>
          <w:sz w:val="28"/>
          <w:szCs w:val="28"/>
        </w:rPr>
        <w:t xml:space="preserve">, though </w:t>
      </w:r>
      <w:r w:rsidR="0080551E">
        <w:rPr>
          <w:sz w:val="28"/>
          <w:szCs w:val="28"/>
        </w:rPr>
        <w:t xml:space="preserve">still </w:t>
      </w:r>
      <w:r w:rsidR="0055047C">
        <w:rPr>
          <w:sz w:val="28"/>
          <w:szCs w:val="28"/>
        </w:rPr>
        <w:t xml:space="preserve">at nascent stage, </w:t>
      </w:r>
      <w:r w:rsidR="00DB24A3">
        <w:rPr>
          <w:sz w:val="28"/>
          <w:szCs w:val="28"/>
        </w:rPr>
        <w:t>will go a long way in improving</w:t>
      </w:r>
      <w:r w:rsidR="00465EE0">
        <w:rPr>
          <w:sz w:val="28"/>
          <w:szCs w:val="28"/>
        </w:rPr>
        <w:t xml:space="preserve"> the overall power scenario in the Country by capacity addition.</w:t>
      </w:r>
      <w:r w:rsidR="0080551E">
        <w:rPr>
          <w:sz w:val="28"/>
          <w:szCs w:val="28"/>
        </w:rPr>
        <w:t xml:space="preserve"> The onus lies on all </w:t>
      </w:r>
      <w:r w:rsidR="0055047C">
        <w:rPr>
          <w:sz w:val="28"/>
          <w:szCs w:val="28"/>
        </w:rPr>
        <w:t>the stake</w:t>
      </w:r>
      <w:r w:rsidR="0080551E">
        <w:rPr>
          <w:sz w:val="28"/>
          <w:szCs w:val="28"/>
        </w:rPr>
        <w:t xml:space="preserve"> holders including the regulators to create both regulatory and institutional </w:t>
      </w:r>
      <w:r w:rsidR="0055047C">
        <w:rPr>
          <w:sz w:val="28"/>
          <w:szCs w:val="28"/>
        </w:rPr>
        <w:t>frameworks congenial</w:t>
      </w:r>
      <w:r w:rsidR="00523733">
        <w:rPr>
          <w:sz w:val="28"/>
          <w:szCs w:val="28"/>
        </w:rPr>
        <w:t xml:space="preserve"> for achieving the desired target and result.</w:t>
      </w:r>
    </w:p>
    <w:p w:rsidR="00BD7417" w:rsidRDefault="00BD7417" w:rsidP="00631D05">
      <w:pPr>
        <w:pStyle w:val="NoSpacing"/>
        <w:jc w:val="both"/>
        <w:rPr>
          <w:sz w:val="28"/>
          <w:szCs w:val="28"/>
        </w:rPr>
      </w:pPr>
    </w:p>
    <w:p w:rsidR="00EB6259" w:rsidRDefault="00216D45" w:rsidP="00BA571C">
      <w:pPr>
        <w:pStyle w:val="NoSpacing"/>
        <w:ind w:left="720"/>
        <w:jc w:val="both"/>
        <w:rPr>
          <w:sz w:val="28"/>
          <w:szCs w:val="28"/>
        </w:rPr>
      </w:pPr>
      <w:r>
        <w:rPr>
          <w:sz w:val="28"/>
          <w:szCs w:val="28"/>
        </w:rPr>
        <w:t xml:space="preserve">Sikkim with a small population of </w:t>
      </w:r>
      <w:r w:rsidR="001C0641">
        <w:rPr>
          <w:sz w:val="28"/>
          <w:szCs w:val="28"/>
        </w:rPr>
        <w:t>around 6, 10,577</w:t>
      </w:r>
      <w:r>
        <w:rPr>
          <w:sz w:val="28"/>
          <w:szCs w:val="28"/>
        </w:rPr>
        <w:t xml:space="preserve"> Lakhs</w:t>
      </w:r>
      <w:r w:rsidR="00631D05">
        <w:rPr>
          <w:sz w:val="28"/>
          <w:szCs w:val="28"/>
        </w:rPr>
        <w:t xml:space="preserve"> as per </w:t>
      </w:r>
      <w:r w:rsidR="001C0641">
        <w:rPr>
          <w:sz w:val="28"/>
          <w:szCs w:val="28"/>
        </w:rPr>
        <w:t xml:space="preserve">the </w:t>
      </w:r>
      <w:r w:rsidR="00631D05">
        <w:rPr>
          <w:sz w:val="28"/>
          <w:szCs w:val="28"/>
        </w:rPr>
        <w:t xml:space="preserve">2011 census </w:t>
      </w:r>
      <w:r w:rsidR="0055047C">
        <w:rPr>
          <w:sz w:val="28"/>
          <w:szCs w:val="28"/>
        </w:rPr>
        <w:t xml:space="preserve"> has an </w:t>
      </w:r>
      <w:r w:rsidR="00246E10">
        <w:rPr>
          <w:sz w:val="28"/>
          <w:szCs w:val="28"/>
        </w:rPr>
        <w:t>annual power</w:t>
      </w:r>
      <w:r>
        <w:rPr>
          <w:sz w:val="28"/>
          <w:szCs w:val="28"/>
        </w:rPr>
        <w:t xml:space="preserve"> requirement within the State of around 270 MU </w:t>
      </w:r>
      <w:r w:rsidR="0055047C">
        <w:rPr>
          <w:sz w:val="28"/>
          <w:szCs w:val="28"/>
        </w:rPr>
        <w:t xml:space="preserve">and the State </w:t>
      </w:r>
      <w:r>
        <w:rPr>
          <w:sz w:val="28"/>
          <w:szCs w:val="28"/>
        </w:rPr>
        <w:t xml:space="preserve">is comfortably placed </w:t>
      </w:r>
      <w:r w:rsidR="00631D05">
        <w:rPr>
          <w:sz w:val="28"/>
          <w:szCs w:val="28"/>
        </w:rPr>
        <w:t xml:space="preserve"> so far as demand and supply </w:t>
      </w:r>
      <w:r w:rsidR="00631D05">
        <w:rPr>
          <w:sz w:val="28"/>
          <w:szCs w:val="28"/>
        </w:rPr>
        <w:lastRenderedPageBreak/>
        <w:t>scenario</w:t>
      </w:r>
      <w:r w:rsidR="0055047C">
        <w:rPr>
          <w:sz w:val="28"/>
          <w:szCs w:val="28"/>
        </w:rPr>
        <w:t xml:space="preserve"> of electricity </w:t>
      </w:r>
      <w:r w:rsidR="00631D05">
        <w:rPr>
          <w:sz w:val="28"/>
          <w:szCs w:val="28"/>
        </w:rPr>
        <w:t xml:space="preserve"> is concerned. </w:t>
      </w:r>
      <w:r w:rsidR="00D20832">
        <w:rPr>
          <w:sz w:val="28"/>
          <w:szCs w:val="28"/>
        </w:rPr>
        <w:t xml:space="preserve">The State is one of the greenest and cleanest States in India known for eco-tourism, peace &amp; tranquillity and for being a total organic State. </w:t>
      </w:r>
      <w:r w:rsidR="00E5344F">
        <w:rPr>
          <w:sz w:val="28"/>
          <w:szCs w:val="28"/>
        </w:rPr>
        <w:t>With limited natural mineral resources and without heavy industries,</w:t>
      </w:r>
      <w:r w:rsidR="00352CC9">
        <w:rPr>
          <w:sz w:val="28"/>
          <w:szCs w:val="28"/>
        </w:rPr>
        <w:t xml:space="preserve"> the main revenue </w:t>
      </w:r>
      <w:r w:rsidR="00430FA0">
        <w:rPr>
          <w:sz w:val="28"/>
          <w:szCs w:val="28"/>
        </w:rPr>
        <w:t>earner for the State is</w:t>
      </w:r>
      <w:r w:rsidR="001C597F">
        <w:rPr>
          <w:sz w:val="28"/>
          <w:szCs w:val="28"/>
        </w:rPr>
        <w:t xml:space="preserve"> tourism</w:t>
      </w:r>
      <w:r w:rsidR="00E5344F">
        <w:rPr>
          <w:sz w:val="28"/>
          <w:szCs w:val="28"/>
        </w:rPr>
        <w:t xml:space="preserve">, hydropower and </w:t>
      </w:r>
      <w:r w:rsidR="00352CC9">
        <w:rPr>
          <w:sz w:val="28"/>
          <w:szCs w:val="28"/>
        </w:rPr>
        <w:t xml:space="preserve">floriculture. Numerous big and small hydropower projects are being implemented in the State. The State will have huge surplus free power once all the projects are commissioned.  </w:t>
      </w:r>
      <w:r w:rsidR="006C080B">
        <w:rPr>
          <w:sz w:val="28"/>
          <w:szCs w:val="28"/>
        </w:rPr>
        <w:t>The slowdown in investment in the hydropower sector in</w:t>
      </w:r>
      <w:r w:rsidR="009139C8">
        <w:rPr>
          <w:sz w:val="28"/>
          <w:szCs w:val="28"/>
        </w:rPr>
        <w:t xml:space="preserve"> the</w:t>
      </w:r>
      <w:r w:rsidR="006C080B">
        <w:rPr>
          <w:sz w:val="28"/>
          <w:szCs w:val="28"/>
        </w:rPr>
        <w:t xml:space="preserve"> recent years and the resultant set back to the pace of hydropower development in the Country might off-shoot the targeted power generation as envisioned </w:t>
      </w:r>
      <w:r w:rsidR="009139C8">
        <w:rPr>
          <w:sz w:val="28"/>
          <w:szCs w:val="28"/>
        </w:rPr>
        <w:t xml:space="preserve">both </w:t>
      </w:r>
      <w:r w:rsidR="006C080B">
        <w:rPr>
          <w:sz w:val="28"/>
          <w:szCs w:val="28"/>
        </w:rPr>
        <w:t xml:space="preserve">by the </w:t>
      </w:r>
      <w:r w:rsidR="009139C8">
        <w:rPr>
          <w:sz w:val="28"/>
          <w:szCs w:val="28"/>
        </w:rPr>
        <w:t xml:space="preserve">Government of India and the </w:t>
      </w:r>
      <w:r w:rsidR="006C080B">
        <w:rPr>
          <w:sz w:val="28"/>
          <w:szCs w:val="28"/>
        </w:rPr>
        <w:t>State</w:t>
      </w:r>
      <w:r w:rsidR="009139C8">
        <w:rPr>
          <w:sz w:val="28"/>
          <w:szCs w:val="28"/>
        </w:rPr>
        <w:t xml:space="preserve"> Government</w:t>
      </w:r>
      <w:r w:rsidR="006C080B">
        <w:rPr>
          <w:sz w:val="28"/>
          <w:szCs w:val="28"/>
        </w:rPr>
        <w:t>.</w:t>
      </w:r>
      <w:r w:rsidR="0083480E" w:rsidRPr="0083480E">
        <w:rPr>
          <w:sz w:val="28"/>
          <w:szCs w:val="28"/>
        </w:rPr>
        <w:t xml:space="preserve"> </w:t>
      </w:r>
      <w:r w:rsidR="00BA571C">
        <w:rPr>
          <w:sz w:val="28"/>
          <w:szCs w:val="28"/>
        </w:rPr>
        <w:t>Although,</w:t>
      </w:r>
      <w:r w:rsidR="00D419DE">
        <w:rPr>
          <w:sz w:val="28"/>
          <w:szCs w:val="28"/>
        </w:rPr>
        <w:t xml:space="preserve"> </w:t>
      </w:r>
      <w:r w:rsidR="0083480E">
        <w:rPr>
          <w:sz w:val="28"/>
          <w:szCs w:val="28"/>
        </w:rPr>
        <w:t>no major challenges are seen in the near future so far a</w:t>
      </w:r>
      <w:r w:rsidR="00BA571C">
        <w:rPr>
          <w:sz w:val="28"/>
          <w:szCs w:val="28"/>
        </w:rPr>
        <w:t>s the power sector is concerned, there s</w:t>
      </w:r>
      <w:r w:rsidR="00990F1D">
        <w:rPr>
          <w:sz w:val="28"/>
          <w:szCs w:val="28"/>
        </w:rPr>
        <w:t xml:space="preserve">till </w:t>
      </w:r>
      <w:r w:rsidR="00BA571C">
        <w:rPr>
          <w:sz w:val="28"/>
          <w:szCs w:val="28"/>
        </w:rPr>
        <w:t xml:space="preserve">remain </w:t>
      </w:r>
      <w:r w:rsidR="001C597F">
        <w:rPr>
          <w:sz w:val="28"/>
          <w:szCs w:val="28"/>
        </w:rPr>
        <w:t xml:space="preserve">challenges </w:t>
      </w:r>
      <w:r w:rsidR="00C752BD">
        <w:rPr>
          <w:sz w:val="28"/>
          <w:szCs w:val="28"/>
        </w:rPr>
        <w:t xml:space="preserve">especially in the area of reduction in T&amp;D losses, setting up of reliable transmission and distribution network, quality power supply etc. </w:t>
      </w:r>
      <w:r w:rsidR="00444180">
        <w:rPr>
          <w:sz w:val="28"/>
          <w:szCs w:val="28"/>
        </w:rPr>
        <w:t>The Commission has been making efforts to help further</w:t>
      </w:r>
      <w:r w:rsidR="00C8579C">
        <w:rPr>
          <w:sz w:val="28"/>
          <w:szCs w:val="28"/>
        </w:rPr>
        <w:t xml:space="preserve"> the </w:t>
      </w:r>
      <w:r w:rsidR="00444180">
        <w:rPr>
          <w:sz w:val="28"/>
          <w:szCs w:val="28"/>
        </w:rPr>
        <w:t>growth of the power sector in the State. The Officers and staffs of the Commission ha</w:t>
      </w:r>
      <w:r w:rsidR="00C8579C">
        <w:rPr>
          <w:sz w:val="28"/>
          <w:szCs w:val="28"/>
        </w:rPr>
        <w:t>ve</w:t>
      </w:r>
      <w:r w:rsidR="00444180">
        <w:rPr>
          <w:sz w:val="28"/>
          <w:szCs w:val="28"/>
        </w:rPr>
        <w:t xml:space="preserve"> been </w:t>
      </w:r>
      <w:r w:rsidR="00C8579C">
        <w:rPr>
          <w:sz w:val="28"/>
          <w:szCs w:val="28"/>
        </w:rPr>
        <w:t>making untiring efforts</w:t>
      </w:r>
      <w:r w:rsidR="00444180">
        <w:rPr>
          <w:sz w:val="28"/>
          <w:szCs w:val="28"/>
        </w:rPr>
        <w:t xml:space="preserve"> to see that the aims and objectives as enshrined in the Electricity Act, 2003, the National Tariff Policy and the National Electricity Policy are achieved</w:t>
      </w:r>
      <w:r w:rsidR="000005F6">
        <w:rPr>
          <w:sz w:val="28"/>
          <w:szCs w:val="28"/>
        </w:rPr>
        <w:t>.</w:t>
      </w:r>
    </w:p>
    <w:p w:rsidR="000005F6" w:rsidRDefault="000005F6" w:rsidP="00990F1D">
      <w:pPr>
        <w:pStyle w:val="NoSpacing"/>
        <w:ind w:left="720"/>
        <w:jc w:val="both"/>
        <w:rPr>
          <w:sz w:val="28"/>
          <w:szCs w:val="28"/>
        </w:rPr>
      </w:pPr>
    </w:p>
    <w:p w:rsidR="00216D45" w:rsidRDefault="000005F6" w:rsidP="000210F5">
      <w:pPr>
        <w:ind w:left="720"/>
        <w:jc w:val="both"/>
        <w:rPr>
          <w:sz w:val="28"/>
          <w:szCs w:val="28"/>
        </w:rPr>
      </w:pPr>
      <w:r>
        <w:rPr>
          <w:sz w:val="28"/>
          <w:szCs w:val="28"/>
        </w:rPr>
        <w:t xml:space="preserve">The Commission reiterates that it will </w:t>
      </w:r>
      <w:r w:rsidR="008906E2">
        <w:rPr>
          <w:sz w:val="28"/>
          <w:szCs w:val="28"/>
        </w:rPr>
        <w:t xml:space="preserve">continue making </w:t>
      </w:r>
      <w:r w:rsidR="00230564">
        <w:rPr>
          <w:sz w:val="28"/>
          <w:szCs w:val="28"/>
        </w:rPr>
        <w:t>sustained efforts</w:t>
      </w:r>
      <w:r>
        <w:rPr>
          <w:sz w:val="28"/>
          <w:szCs w:val="28"/>
        </w:rPr>
        <w:t xml:space="preserve"> to take ahead the reforms agenda as prescribed by the Electricity Act, 2003. I take this opportunity to express my gratitude to all the Stake holders, the State Government, the Energy &amp; Power Department, the members, staffs and officers of the Commission for their active participation and cooperation in taking f</w:t>
      </w:r>
      <w:r w:rsidR="000210F5">
        <w:rPr>
          <w:sz w:val="28"/>
          <w:szCs w:val="28"/>
        </w:rPr>
        <w:t xml:space="preserve">orward the Regulatory process. </w:t>
      </w:r>
    </w:p>
    <w:p w:rsidR="000210F5" w:rsidRDefault="000210F5" w:rsidP="00573324">
      <w:pPr>
        <w:jc w:val="both"/>
        <w:rPr>
          <w:sz w:val="28"/>
          <w:szCs w:val="28"/>
        </w:rPr>
      </w:pPr>
    </w:p>
    <w:p w:rsidR="000210F5" w:rsidRPr="00450C47" w:rsidRDefault="006A7BFD" w:rsidP="00450C47">
      <w:pPr>
        <w:tabs>
          <w:tab w:val="left" w:pos="6765"/>
          <w:tab w:val="left" w:pos="7035"/>
        </w:tabs>
        <w:ind w:left="426"/>
        <w:jc w:val="both"/>
        <w:rPr>
          <w:sz w:val="28"/>
          <w:szCs w:val="28"/>
        </w:rPr>
      </w:pPr>
      <w:r>
        <w:rPr>
          <w:sz w:val="28"/>
          <w:szCs w:val="28"/>
        </w:rPr>
        <w:tab/>
      </w:r>
      <w:r w:rsidR="00450C47" w:rsidRPr="00450C47">
        <w:rPr>
          <w:sz w:val="28"/>
          <w:szCs w:val="28"/>
        </w:rPr>
        <w:t xml:space="preserve">  Sd/-</w:t>
      </w:r>
      <w:r w:rsidR="00450C47" w:rsidRPr="00450C47">
        <w:rPr>
          <w:sz w:val="28"/>
          <w:szCs w:val="28"/>
        </w:rPr>
        <w:tab/>
      </w:r>
    </w:p>
    <w:p w:rsidR="000210F5" w:rsidRDefault="000210F5" w:rsidP="000210F5">
      <w:pPr>
        <w:ind w:left="426" w:firstLine="141"/>
        <w:jc w:val="both"/>
        <w:rPr>
          <w:b/>
          <w:sz w:val="28"/>
          <w:szCs w:val="28"/>
        </w:rPr>
      </w:pPr>
      <w:r w:rsidRPr="00697ABB">
        <w:rPr>
          <w:b/>
          <w:sz w:val="28"/>
          <w:szCs w:val="28"/>
        </w:rPr>
        <w:t xml:space="preserve">Gangtok, </w:t>
      </w:r>
      <w:r w:rsidR="00450C47">
        <w:rPr>
          <w:b/>
          <w:sz w:val="28"/>
          <w:szCs w:val="28"/>
        </w:rPr>
        <w:t>8</w:t>
      </w:r>
      <w:r w:rsidR="00450C47" w:rsidRPr="00450C47">
        <w:rPr>
          <w:b/>
          <w:sz w:val="28"/>
          <w:szCs w:val="28"/>
          <w:vertAlign w:val="superscript"/>
        </w:rPr>
        <w:t>th</w:t>
      </w:r>
      <w:r w:rsidR="00450C47">
        <w:rPr>
          <w:b/>
          <w:sz w:val="28"/>
          <w:szCs w:val="28"/>
        </w:rPr>
        <w:t xml:space="preserve"> </w:t>
      </w:r>
      <w:r w:rsidR="00573324">
        <w:rPr>
          <w:b/>
          <w:sz w:val="28"/>
          <w:szCs w:val="28"/>
        </w:rPr>
        <w:t>May</w:t>
      </w:r>
      <w:r>
        <w:rPr>
          <w:b/>
          <w:sz w:val="28"/>
          <w:szCs w:val="28"/>
        </w:rPr>
        <w:t xml:space="preserve"> </w:t>
      </w:r>
      <w:r w:rsidR="00573324">
        <w:rPr>
          <w:b/>
          <w:sz w:val="28"/>
          <w:szCs w:val="28"/>
        </w:rPr>
        <w:t>2015</w:t>
      </w:r>
      <w:r>
        <w:rPr>
          <w:b/>
          <w:sz w:val="28"/>
          <w:szCs w:val="28"/>
        </w:rPr>
        <w:tab/>
        <w:t xml:space="preserve">                            </w:t>
      </w:r>
      <w:r w:rsidR="00450C47">
        <w:rPr>
          <w:b/>
          <w:sz w:val="28"/>
          <w:szCs w:val="28"/>
        </w:rPr>
        <w:t xml:space="preserve">      </w:t>
      </w:r>
      <w:r w:rsidR="007C1B31">
        <w:rPr>
          <w:b/>
          <w:sz w:val="28"/>
          <w:szCs w:val="28"/>
        </w:rPr>
        <w:t xml:space="preserve">   </w:t>
      </w:r>
      <w:r>
        <w:rPr>
          <w:b/>
          <w:sz w:val="28"/>
          <w:szCs w:val="28"/>
        </w:rPr>
        <w:t>(T.T.Dorji), IAS (Retd.)</w:t>
      </w:r>
    </w:p>
    <w:p w:rsidR="000210F5" w:rsidRDefault="000210F5" w:rsidP="000210F5">
      <w:pPr>
        <w:rPr>
          <w:b/>
          <w:sz w:val="24"/>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CHAIRPERSON</w:t>
      </w:r>
    </w:p>
    <w:p w:rsidR="00963280" w:rsidRDefault="00963280" w:rsidP="00E03C33">
      <w:pPr>
        <w:pStyle w:val="NoSpacing"/>
        <w:rPr>
          <w:b/>
          <w:sz w:val="28"/>
          <w:szCs w:val="28"/>
          <w:u w:val="single"/>
        </w:rPr>
      </w:pPr>
    </w:p>
    <w:p w:rsidR="00963280" w:rsidRDefault="00963280" w:rsidP="00AE5B3C">
      <w:pPr>
        <w:pStyle w:val="NoSpacing"/>
        <w:jc w:val="center"/>
        <w:rPr>
          <w:b/>
          <w:sz w:val="28"/>
          <w:szCs w:val="28"/>
          <w:u w:val="single"/>
        </w:rPr>
      </w:pPr>
    </w:p>
    <w:p w:rsidR="004756BE" w:rsidRDefault="004756BE" w:rsidP="004756BE">
      <w:pPr>
        <w:pStyle w:val="NoSpacing"/>
        <w:rPr>
          <w:b/>
          <w:sz w:val="28"/>
          <w:szCs w:val="28"/>
          <w:u w:val="single"/>
        </w:rPr>
      </w:pPr>
    </w:p>
    <w:p w:rsidR="00E904B9" w:rsidRDefault="00E904B9" w:rsidP="004756BE">
      <w:pPr>
        <w:pStyle w:val="NoSpacing"/>
        <w:rPr>
          <w:b/>
          <w:sz w:val="28"/>
          <w:szCs w:val="28"/>
          <w:u w:val="single"/>
        </w:rPr>
      </w:pPr>
    </w:p>
    <w:p w:rsidR="00E904B9" w:rsidRDefault="00E904B9" w:rsidP="004756BE">
      <w:pPr>
        <w:pStyle w:val="NoSpacing"/>
        <w:rPr>
          <w:b/>
          <w:sz w:val="28"/>
          <w:szCs w:val="28"/>
          <w:u w:val="single"/>
        </w:rPr>
      </w:pPr>
    </w:p>
    <w:p w:rsidR="008A3099" w:rsidRDefault="008A3099" w:rsidP="00AE5B3C">
      <w:pPr>
        <w:pStyle w:val="NoSpacing"/>
        <w:jc w:val="center"/>
        <w:rPr>
          <w:b/>
          <w:sz w:val="28"/>
          <w:szCs w:val="28"/>
          <w:u w:val="single"/>
        </w:rPr>
      </w:pPr>
    </w:p>
    <w:p w:rsidR="00AE5B3C" w:rsidRPr="001C0125" w:rsidRDefault="00AE5B3C" w:rsidP="00AE5B3C">
      <w:pPr>
        <w:pStyle w:val="NoSpacing"/>
        <w:jc w:val="center"/>
        <w:rPr>
          <w:b/>
          <w:sz w:val="28"/>
          <w:szCs w:val="28"/>
          <w:u w:val="single"/>
        </w:rPr>
      </w:pPr>
      <w:r w:rsidRPr="001C0125">
        <w:rPr>
          <w:b/>
          <w:sz w:val="28"/>
          <w:szCs w:val="28"/>
          <w:u w:val="single"/>
        </w:rPr>
        <w:t>TABLE OF CONTENTS</w:t>
      </w:r>
    </w:p>
    <w:p w:rsidR="001C0125" w:rsidRDefault="001C0125" w:rsidP="00AE5B3C">
      <w:pPr>
        <w:pStyle w:val="NoSpacing"/>
        <w:jc w:val="center"/>
        <w:rPr>
          <w:b/>
          <w:u w:val="single"/>
        </w:rPr>
      </w:pPr>
    </w:p>
    <w:p w:rsidR="001C0125" w:rsidRDefault="001C0125" w:rsidP="00AE5B3C">
      <w:pPr>
        <w:pStyle w:val="NoSpacing"/>
        <w:jc w:val="center"/>
        <w:rPr>
          <w:b/>
          <w:u w:val="single"/>
        </w:rPr>
      </w:pPr>
    </w:p>
    <w:p w:rsidR="00AE5B3C" w:rsidRPr="000B498B" w:rsidRDefault="00AE5B3C" w:rsidP="00AE5B3C">
      <w:pPr>
        <w:pStyle w:val="NoSpacing"/>
        <w:rPr>
          <w:b/>
        </w:rPr>
      </w:pPr>
    </w:p>
    <w:tbl>
      <w:tblPr>
        <w:tblStyle w:val="TableGrid"/>
        <w:tblW w:w="8789" w:type="dxa"/>
        <w:tblInd w:w="817" w:type="dxa"/>
        <w:tblLayout w:type="fixed"/>
        <w:tblLook w:val="04A0"/>
      </w:tblPr>
      <w:tblGrid>
        <w:gridCol w:w="1701"/>
        <w:gridCol w:w="5954"/>
        <w:gridCol w:w="1134"/>
      </w:tblGrid>
      <w:tr w:rsidR="00AE5B3C" w:rsidRPr="000B498B" w:rsidTr="003D08E8">
        <w:tc>
          <w:tcPr>
            <w:tcW w:w="1701" w:type="dxa"/>
          </w:tcPr>
          <w:p w:rsidR="00AE5B3C" w:rsidRPr="001C0125" w:rsidRDefault="00D80863" w:rsidP="002D57D2">
            <w:pPr>
              <w:pStyle w:val="NoSpacing"/>
              <w:rPr>
                <w:b/>
                <w:sz w:val="24"/>
                <w:szCs w:val="24"/>
              </w:rPr>
            </w:pPr>
            <w:r w:rsidRPr="001C0125">
              <w:rPr>
                <w:b/>
                <w:sz w:val="24"/>
                <w:szCs w:val="24"/>
              </w:rPr>
              <w:t>Chapter No.</w:t>
            </w:r>
          </w:p>
        </w:tc>
        <w:tc>
          <w:tcPr>
            <w:tcW w:w="5954" w:type="dxa"/>
          </w:tcPr>
          <w:p w:rsidR="00AE5B3C" w:rsidRPr="001C0125" w:rsidRDefault="00AE5B3C" w:rsidP="003D08E8">
            <w:pPr>
              <w:pStyle w:val="NoSpacing"/>
              <w:jc w:val="center"/>
              <w:rPr>
                <w:b/>
                <w:sz w:val="24"/>
                <w:szCs w:val="24"/>
              </w:rPr>
            </w:pPr>
            <w:r w:rsidRPr="001C0125">
              <w:rPr>
                <w:b/>
                <w:sz w:val="24"/>
                <w:szCs w:val="24"/>
              </w:rPr>
              <w:t>Particulars</w:t>
            </w:r>
          </w:p>
        </w:tc>
        <w:tc>
          <w:tcPr>
            <w:tcW w:w="1134" w:type="dxa"/>
          </w:tcPr>
          <w:p w:rsidR="00AE5B3C" w:rsidRPr="001C0125" w:rsidRDefault="00AE5B3C" w:rsidP="003D08E8">
            <w:pPr>
              <w:pStyle w:val="NoSpacing"/>
              <w:rPr>
                <w:b/>
                <w:sz w:val="24"/>
                <w:szCs w:val="24"/>
              </w:rPr>
            </w:pPr>
            <w:r w:rsidRPr="001C0125">
              <w:rPr>
                <w:b/>
                <w:sz w:val="24"/>
                <w:szCs w:val="24"/>
              </w:rPr>
              <w:t>Page Nos.</w:t>
            </w:r>
          </w:p>
        </w:tc>
      </w:tr>
      <w:tr w:rsidR="00D80863" w:rsidRPr="000B498B" w:rsidTr="003D08E8">
        <w:tc>
          <w:tcPr>
            <w:tcW w:w="8789" w:type="dxa"/>
            <w:gridSpan w:val="3"/>
          </w:tcPr>
          <w:p w:rsidR="00D80863" w:rsidRPr="001C0125" w:rsidRDefault="00D80863" w:rsidP="003D08E8">
            <w:pPr>
              <w:pStyle w:val="NoSpacing"/>
              <w:rPr>
                <w:b/>
                <w:sz w:val="24"/>
                <w:szCs w:val="24"/>
              </w:rPr>
            </w:pPr>
            <w:r w:rsidRPr="001C0125">
              <w:rPr>
                <w:b/>
                <w:sz w:val="24"/>
                <w:szCs w:val="24"/>
              </w:rPr>
              <w:t>Chapter -1</w:t>
            </w:r>
          </w:p>
        </w:tc>
      </w:tr>
      <w:tr w:rsidR="00AE5B3C" w:rsidRPr="000B498B" w:rsidTr="003D08E8">
        <w:tc>
          <w:tcPr>
            <w:tcW w:w="1701" w:type="dxa"/>
          </w:tcPr>
          <w:p w:rsidR="00AE5B3C" w:rsidRPr="001C0125" w:rsidRDefault="00AE5B3C" w:rsidP="00AE5B3C">
            <w:pPr>
              <w:pStyle w:val="NoSpacing"/>
              <w:jc w:val="center"/>
              <w:rPr>
                <w:sz w:val="24"/>
                <w:szCs w:val="24"/>
              </w:rPr>
            </w:pPr>
            <w:r w:rsidRPr="001C0125">
              <w:rPr>
                <w:sz w:val="24"/>
                <w:szCs w:val="24"/>
              </w:rPr>
              <w:t>1.1</w:t>
            </w:r>
          </w:p>
        </w:tc>
        <w:tc>
          <w:tcPr>
            <w:tcW w:w="5954" w:type="dxa"/>
          </w:tcPr>
          <w:p w:rsidR="00AE5B3C" w:rsidRPr="001C0125" w:rsidRDefault="00AE5B3C" w:rsidP="003D08E8">
            <w:pPr>
              <w:pStyle w:val="NoSpacing"/>
              <w:rPr>
                <w:sz w:val="24"/>
                <w:szCs w:val="24"/>
              </w:rPr>
            </w:pPr>
            <w:r w:rsidRPr="001C0125">
              <w:rPr>
                <w:sz w:val="24"/>
                <w:szCs w:val="24"/>
              </w:rPr>
              <w:t>Introduction</w:t>
            </w:r>
          </w:p>
        </w:tc>
        <w:tc>
          <w:tcPr>
            <w:tcW w:w="1134" w:type="dxa"/>
          </w:tcPr>
          <w:p w:rsidR="00AE5B3C" w:rsidRPr="001C0125" w:rsidRDefault="00E873B1" w:rsidP="003D08E8">
            <w:pPr>
              <w:pStyle w:val="NoSpacing"/>
              <w:jc w:val="center"/>
              <w:rPr>
                <w:sz w:val="24"/>
                <w:szCs w:val="24"/>
              </w:rPr>
            </w:pPr>
            <w:r>
              <w:rPr>
                <w:sz w:val="24"/>
                <w:szCs w:val="24"/>
              </w:rPr>
              <w:t>1</w:t>
            </w:r>
          </w:p>
        </w:tc>
      </w:tr>
      <w:tr w:rsidR="00AE5B3C" w:rsidRPr="000B498B" w:rsidTr="003D08E8">
        <w:tc>
          <w:tcPr>
            <w:tcW w:w="1701" w:type="dxa"/>
          </w:tcPr>
          <w:p w:rsidR="00AE5B3C" w:rsidRPr="001C0125" w:rsidRDefault="00AE5B3C" w:rsidP="003D08E8">
            <w:pPr>
              <w:pStyle w:val="NoSpacing"/>
              <w:jc w:val="center"/>
              <w:rPr>
                <w:sz w:val="24"/>
                <w:szCs w:val="24"/>
              </w:rPr>
            </w:pPr>
            <w:r w:rsidRPr="001C0125">
              <w:rPr>
                <w:sz w:val="24"/>
                <w:szCs w:val="24"/>
              </w:rPr>
              <w:t>1.2</w:t>
            </w:r>
          </w:p>
        </w:tc>
        <w:tc>
          <w:tcPr>
            <w:tcW w:w="5954" w:type="dxa"/>
          </w:tcPr>
          <w:p w:rsidR="00AE5B3C" w:rsidRPr="001C0125" w:rsidRDefault="00AE5B3C" w:rsidP="003D08E8">
            <w:pPr>
              <w:pStyle w:val="NoSpacing"/>
              <w:rPr>
                <w:sz w:val="24"/>
                <w:szCs w:val="24"/>
              </w:rPr>
            </w:pPr>
            <w:r w:rsidRPr="001C0125">
              <w:rPr>
                <w:sz w:val="24"/>
                <w:szCs w:val="24"/>
              </w:rPr>
              <w:t>Sikkim State Electricity Regulatory Commission</w:t>
            </w:r>
          </w:p>
        </w:tc>
        <w:tc>
          <w:tcPr>
            <w:tcW w:w="1134" w:type="dxa"/>
          </w:tcPr>
          <w:p w:rsidR="00AE5B3C" w:rsidRPr="001C0125" w:rsidRDefault="008A3099" w:rsidP="003D08E8">
            <w:pPr>
              <w:pStyle w:val="NoSpacing"/>
              <w:jc w:val="center"/>
              <w:rPr>
                <w:sz w:val="24"/>
                <w:szCs w:val="24"/>
              </w:rPr>
            </w:pPr>
            <w:r>
              <w:rPr>
                <w:sz w:val="24"/>
                <w:szCs w:val="24"/>
              </w:rPr>
              <w:t>1</w:t>
            </w:r>
          </w:p>
        </w:tc>
      </w:tr>
      <w:tr w:rsidR="00D80863" w:rsidRPr="000B498B" w:rsidTr="003D08E8">
        <w:tc>
          <w:tcPr>
            <w:tcW w:w="8789" w:type="dxa"/>
            <w:gridSpan w:val="3"/>
          </w:tcPr>
          <w:p w:rsidR="00D80863" w:rsidRPr="001C0125" w:rsidRDefault="00D80863" w:rsidP="00AE5B3C">
            <w:pPr>
              <w:rPr>
                <w:b/>
                <w:sz w:val="24"/>
                <w:szCs w:val="24"/>
              </w:rPr>
            </w:pPr>
            <w:r w:rsidRPr="001C0125">
              <w:rPr>
                <w:b/>
                <w:sz w:val="24"/>
                <w:szCs w:val="24"/>
              </w:rPr>
              <w:t>Chapter- 2</w:t>
            </w:r>
          </w:p>
        </w:tc>
      </w:tr>
      <w:tr w:rsidR="00AE5B3C" w:rsidRPr="000B498B" w:rsidTr="003D08E8">
        <w:tc>
          <w:tcPr>
            <w:tcW w:w="1701" w:type="dxa"/>
          </w:tcPr>
          <w:p w:rsidR="00AE5B3C" w:rsidRPr="001C0125" w:rsidRDefault="00AE5B3C" w:rsidP="003D08E8">
            <w:pPr>
              <w:pStyle w:val="NoSpacing"/>
              <w:jc w:val="center"/>
              <w:rPr>
                <w:sz w:val="24"/>
                <w:szCs w:val="24"/>
              </w:rPr>
            </w:pPr>
            <w:r w:rsidRPr="001C0125">
              <w:rPr>
                <w:sz w:val="24"/>
                <w:szCs w:val="24"/>
              </w:rPr>
              <w:t>2.1</w:t>
            </w:r>
          </w:p>
        </w:tc>
        <w:tc>
          <w:tcPr>
            <w:tcW w:w="5954" w:type="dxa"/>
          </w:tcPr>
          <w:p w:rsidR="00AE5B3C" w:rsidRPr="001C0125" w:rsidRDefault="00AE5B3C" w:rsidP="003D08E8">
            <w:pPr>
              <w:rPr>
                <w:sz w:val="24"/>
                <w:szCs w:val="24"/>
              </w:rPr>
            </w:pPr>
            <w:r w:rsidRPr="001C0125">
              <w:rPr>
                <w:sz w:val="24"/>
                <w:szCs w:val="24"/>
              </w:rPr>
              <w:t>Activities of the Commission</w:t>
            </w:r>
          </w:p>
        </w:tc>
        <w:tc>
          <w:tcPr>
            <w:tcW w:w="1134" w:type="dxa"/>
          </w:tcPr>
          <w:p w:rsidR="00AE5B3C" w:rsidRPr="001C0125" w:rsidRDefault="008A3099" w:rsidP="003D08E8">
            <w:pPr>
              <w:pStyle w:val="NoSpacing"/>
              <w:jc w:val="center"/>
              <w:rPr>
                <w:sz w:val="24"/>
                <w:szCs w:val="24"/>
              </w:rPr>
            </w:pPr>
            <w:r>
              <w:rPr>
                <w:sz w:val="24"/>
                <w:szCs w:val="24"/>
              </w:rPr>
              <w:t>2</w:t>
            </w:r>
          </w:p>
        </w:tc>
      </w:tr>
      <w:tr w:rsidR="00AE5B3C" w:rsidRPr="000B498B" w:rsidTr="003D08E8">
        <w:tc>
          <w:tcPr>
            <w:tcW w:w="1701" w:type="dxa"/>
          </w:tcPr>
          <w:p w:rsidR="00AE5B3C" w:rsidRPr="001C0125" w:rsidRDefault="00AE5B3C" w:rsidP="00AE5B3C">
            <w:pPr>
              <w:pStyle w:val="NoSpacing"/>
              <w:jc w:val="center"/>
              <w:rPr>
                <w:sz w:val="24"/>
                <w:szCs w:val="24"/>
              </w:rPr>
            </w:pPr>
            <w:r w:rsidRPr="001C0125">
              <w:rPr>
                <w:sz w:val="24"/>
                <w:szCs w:val="24"/>
              </w:rPr>
              <w:t>2.2</w:t>
            </w:r>
          </w:p>
        </w:tc>
        <w:tc>
          <w:tcPr>
            <w:tcW w:w="5954" w:type="dxa"/>
          </w:tcPr>
          <w:p w:rsidR="00AE5B3C" w:rsidRPr="001C0125" w:rsidRDefault="00AE5B3C" w:rsidP="003D08E8">
            <w:pPr>
              <w:rPr>
                <w:sz w:val="24"/>
                <w:szCs w:val="24"/>
              </w:rPr>
            </w:pPr>
            <w:r w:rsidRPr="001C0125">
              <w:rPr>
                <w:sz w:val="24"/>
                <w:szCs w:val="24"/>
              </w:rPr>
              <w:t>Notification of Regulations</w:t>
            </w:r>
          </w:p>
        </w:tc>
        <w:tc>
          <w:tcPr>
            <w:tcW w:w="1134" w:type="dxa"/>
          </w:tcPr>
          <w:p w:rsidR="00AE5B3C" w:rsidRPr="001C0125" w:rsidRDefault="008A3099" w:rsidP="003D08E8">
            <w:pPr>
              <w:pStyle w:val="NoSpacing"/>
              <w:jc w:val="center"/>
              <w:rPr>
                <w:sz w:val="24"/>
                <w:szCs w:val="24"/>
              </w:rPr>
            </w:pPr>
            <w:r>
              <w:rPr>
                <w:sz w:val="24"/>
                <w:szCs w:val="24"/>
              </w:rPr>
              <w:t>2</w:t>
            </w:r>
          </w:p>
        </w:tc>
      </w:tr>
      <w:tr w:rsidR="00AE5B3C" w:rsidRPr="000B498B" w:rsidTr="003D08E8">
        <w:tc>
          <w:tcPr>
            <w:tcW w:w="1701" w:type="dxa"/>
          </w:tcPr>
          <w:p w:rsidR="00AE5B3C" w:rsidRPr="001C0125" w:rsidRDefault="00AE5B3C" w:rsidP="00AE5B3C">
            <w:pPr>
              <w:pStyle w:val="NoSpacing"/>
              <w:jc w:val="center"/>
              <w:rPr>
                <w:sz w:val="24"/>
                <w:szCs w:val="24"/>
              </w:rPr>
            </w:pPr>
            <w:r w:rsidRPr="001C0125">
              <w:rPr>
                <w:sz w:val="24"/>
                <w:szCs w:val="24"/>
              </w:rPr>
              <w:t>2.3</w:t>
            </w:r>
          </w:p>
        </w:tc>
        <w:tc>
          <w:tcPr>
            <w:tcW w:w="5954" w:type="dxa"/>
          </w:tcPr>
          <w:p w:rsidR="00AE5B3C" w:rsidRPr="001C0125" w:rsidRDefault="00AE5B3C" w:rsidP="003D08E8">
            <w:pPr>
              <w:jc w:val="both"/>
              <w:rPr>
                <w:sz w:val="24"/>
                <w:szCs w:val="24"/>
              </w:rPr>
            </w:pPr>
            <w:r w:rsidRPr="001C0125">
              <w:rPr>
                <w:sz w:val="24"/>
                <w:szCs w:val="24"/>
              </w:rPr>
              <w:t>Determination of ARR and Tariff for F.Y 2014-15</w:t>
            </w:r>
          </w:p>
        </w:tc>
        <w:tc>
          <w:tcPr>
            <w:tcW w:w="1134" w:type="dxa"/>
          </w:tcPr>
          <w:p w:rsidR="00AE5B3C" w:rsidRPr="001C0125" w:rsidRDefault="008A3099" w:rsidP="003D08E8">
            <w:pPr>
              <w:pStyle w:val="NoSpacing"/>
              <w:jc w:val="center"/>
              <w:rPr>
                <w:sz w:val="24"/>
                <w:szCs w:val="24"/>
              </w:rPr>
            </w:pPr>
            <w:r>
              <w:rPr>
                <w:sz w:val="24"/>
                <w:szCs w:val="24"/>
              </w:rPr>
              <w:t>3</w:t>
            </w:r>
          </w:p>
        </w:tc>
      </w:tr>
      <w:tr w:rsidR="00AE5B3C" w:rsidRPr="000B498B" w:rsidTr="003D08E8">
        <w:tc>
          <w:tcPr>
            <w:tcW w:w="1701" w:type="dxa"/>
          </w:tcPr>
          <w:p w:rsidR="00AE5B3C" w:rsidRPr="001C0125" w:rsidRDefault="00AE5B3C" w:rsidP="003D08E8">
            <w:pPr>
              <w:pStyle w:val="NoSpacing"/>
              <w:jc w:val="center"/>
              <w:rPr>
                <w:sz w:val="24"/>
                <w:szCs w:val="24"/>
              </w:rPr>
            </w:pPr>
            <w:r w:rsidRPr="001C0125">
              <w:rPr>
                <w:sz w:val="24"/>
                <w:szCs w:val="24"/>
              </w:rPr>
              <w:t>2.4</w:t>
            </w:r>
          </w:p>
        </w:tc>
        <w:tc>
          <w:tcPr>
            <w:tcW w:w="5954" w:type="dxa"/>
          </w:tcPr>
          <w:p w:rsidR="00AE5B3C" w:rsidRPr="001C0125" w:rsidRDefault="00AE5B3C" w:rsidP="003D08E8">
            <w:pPr>
              <w:jc w:val="both"/>
              <w:rPr>
                <w:sz w:val="24"/>
                <w:szCs w:val="24"/>
              </w:rPr>
            </w:pPr>
            <w:r w:rsidRPr="001C0125">
              <w:rPr>
                <w:sz w:val="24"/>
                <w:szCs w:val="24"/>
              </w:rPr>
              <w:t>Public Hearing</w:t>
            </w:r>
          </w:p>
        </w:tc>
        <w:tc>
          <w:tcPr>
            <w:tcW w:w="1134" w:type="dxa"/>
          </w:tcPr>
          <w:p w:rsidR="00AE5B3C" w:rsidRPr="001C0125" w:rsidRDefault="008A3099" w:rsidP="003D08E8">
            <w:pPr>
              <w:pStyle w:val="NoSpacing"/>
              <w:jc w:val="center"/>
              <w:rPr>
                <w:sz w:val="24"/>
                <w:szCs w:val="24"/>
              </w:rPr>
            </w:pPr>
            <w:r>
              <w:rPr>
                <w:sz w:val="24"/>
                <w:szCs w:val="24"/>
              </w:rPr>
              <w:t>3</w:t>
            </w:r>
          </w:p>
        </w:tc>
      </w:tr>
      <w:tr w:rsidR="00AE5B3C" w:rsidRPr="000B498B" w:rsidTr="003D08E8">
        <w:tc>
          <w:tcPr>
            <w:tcW w:w="1701" w:type="dxa"/>
          </w:tcPr>
          <w:p w:rsidR="00AE5B3C" w:rsidRPr="001C0125" w:rsidRDefault="00AE5B3C" w:rsidP="00AE5B3C">
            <w:pPr>
              <w:pStyle w:val="NoSpacing"/>
              <w:jc w:val="center"/>
              <w:rPr>
                <w:sz w:val="24"/>
                <w:szCs w:val="24"/>
              </w:rPr>
            </w:pPr>
            <w:r w:rsidRPr="001C0125">
              <w:rPr>
                <w:sz w:val="24"/>
                <w:szCs w:val="24"/>
              </w:rPr>
              <w:t>2.5</w:t>
            </w:r>
          </w:p>
        </w:tc>
        <w:tc>
          <w:tcPr>
            <w:tcW w:w="5954" w:type="dxa"/>
          </w:tcPr>
          <w:p w:rsidR="00AE5B3C" w:rsidRPr="001C0125" w:rsidRDefault="005D6FAE" w:rsidP="00AE5B3C">
            <w:pPr>
              <w:jc w:val="both"/>
              <w:rPr>
                <w:sz w:val="24"/>
                <w:szCs w:val="24"/>
              </w:rPr>
            </w:pPr>
            <w:r>
              <w:rPr>
                <w:sz w:val="24"/>
                <w:szCs w:val="24"/>
              </w:rPr>
              <w:t>Order for F.Y 2014</w:t>
            </w:r>
            <w:r w:rsidR="00AE5B3C" w:rsidRPr="001C0125">
              <w:rPr>
                <w:sz w:val="24"/>
                <w:szCs w:val="24"/>
              </w:rPr>
              <w:t>-1</w:t>
            </w:r>
            <w:r>
              <w:rPr>
                <w:sz w:val="24"/>
                <w:szCs w:val="24"/>
              </w:rPr>
              <w:t>5</w:t>
            </w:r>
          </w:p>
        </w:tc>
        <w:tc>
          <w:tcPr>
            <w:tcW w:w="1134" w:type="dxa"/>
          </w:tcPr>
          <w:p w:rsidR="00AE5B3C" w:rsidRPr="001C0125" w:rsidRDefault="008A3099" w:rsidP="003D08E8">
            <w:pPr>
              <w:pStyle w:val="NoSpacing"/>
              <w:jc w:val="center"/>
              <w:rPr>
                <w:sz w:val="24"/>
                <w:szCs w:val="24"/>
              </w:rPr>
            </w:pPr>
            <w:r>
              <w:rPr>
                <w:sz w:val="24"/>
                <w:szCs w:val="24"/>
              </w:rPr>
              <w:t>4</w:t>
            </w:r>
          </w:p>
        </w:tc>
      </w:tr>
      <w:tr w:rsidR="00AE5B3C" w:rsidRPr="000B498B" w:rsidTr="003D08E8">
        <w:tc>
          <w:tcPr>
            <w:tcW w:w="1701" w:type="dxa"/>
          </w:tcPr>
          <w:p w:rsidR="00AE5B3C" w:rsidRPr="001C0125" w:rsidRDefault="00AE5B3C" w:rsidP="00AE5B3C">
            <w:pPr>
              <w:pStyle w:val="NoSpacing"/>
              <w:jc w:val="center"/>
              <w:rPr>
                <w:sz w:val="24"/>
                <w:szCs w:val="24"/>
              </w:rPr>
            </w:pPr>
            <w:r w:rsidRPr="001C0125">
              <w:rPr>
                <w:sz w:val="24"/>
                <w:szCs w:val="24"/>
              </w:rPr>
              <w:t>2.6</w:t>
            </w:r>
          </w:p>
        </w:tc>
        <w:tc>
          <w:tcPr>
            <w:tcW w:w="5954" w:type="dxa"/>
          </w:tcPr>
          <w:p w:rsidR="00AE5B3C" w:rsidRPr="001C0125" w:rsidRDefault="005F4C2E" w:rsidP="003D08E8">
            <w:pPr>
              <w:jc w:val="both"/>
              <w:rPr>
                <w:sz w:val="24"/>
                <w:szCs w:val="24"/>
              </w:rPr>
            </w:pPr>
            <w:r w:rsidRPr="001C0125">
              <w:rPr>
                <w:sz w:val="24"/>
                <w:szCs w:val="24"/>
              </w:rPr>
              <w:t>Provisional True Up/Review for F.Y 2013-14 and F.Y 2014-15</w:t>
            </w:r>
          </w:p>
        </w:tc>
        <w:tc>
          <w:tcPr>
            <w:tcW w:w="1134" w:type="dxa"/>
          </w:tcPr>
          <w:p w:rsidR="00AE5B3C" w:rsidRPr="001C0125" w:rsidRDefault="00E64988" w:rsidP="003D08E8">
            <w:pPr>
              <w:pStyle w:val="NoSpacing"/>
              <w:jc w:val="center"/>
              <w:rPr>
                <w:sz w:val="24"/>
                <w:szCs w:val="24"/>
              </w:rPr>
            </w:pPr>
            <w:r>
              <w:rPr>
                <w:sz w:val="24"/>
                <w:szCs w:val="24"/>
              </w:rPr>
              <w:t>5</w:t>
            </w:r>
          </w:p>
        </w:tc>
      </w:tr>
      <w:tr w:rsidR="00AE5B3C" w:rsidRPr="000B498B" w:rsidTr="003D08E8">
        <w:tc>
          <w:tcPr>
            <w:tcW w:w="1701" w:type="dxa"/>
          </w:tcPr>
          <w:p w:rsidR="00AE5B3C" w:rsidRPr="001C0125" w:rsidRDefault="005F4C2E" w:rsidP="005F4C2E">
            <w:pPr>
              <w:pStyle w:val="NoSpacing"/>
              <w:jc w:val="center"/>
              <w:rPr>
                <w:sz w:val="24"/>
                <w:szCs w:val="24"/>
              </w:rPr>
            </w:pPr>
            <w:r w:rsidRPr="001C0125">
              <w:rPr>
                <w:sz w:val="24"/>
                <w:szCs w:val="24"/>
              </w:rPr>
              <w:t>2.</w:t>
            </w:r>
            <w:r w:rsidR="00AE5B3C" w:rsidRPr="001C0125">
              <w:rPr>
                <w:sz w:val="24"/>
                <w:szCs w:val="24"/>
              </w:rPr>
              <w:t>7</w:t>
            </w:r>
          </w:p>
        </w:tc>
        <w:tc>
          <w:tcPr>
            <w:tcW w:w="5954" w:type="dxa"/>
          </w:tcPr>
          <w:p w:rsidR="00AE5B3C" w:rsidRPr="001C0125" w:rsidRDefault="005D6FAE" w:rsidP="003D08E8">
            <w:pPr>
              <w:jc w:val="both"/>
              <w:rPr>
                <w:sz w:val="24"/>
                <w:szCs w:val="24"/>
              </w:rPr>
            </w:pPr>
            <w:r>
              <w:rPr>
                <w:sz w:val="24"/>
                <w:szCs w:val="24"/>
              </w:rPr>
              <w:t>Fresh Directives for F.Y 2014</w:t>
            </w:r>
            <w:r w:rsidR="002D57D2" w:rsidRPr="001C0125">
              <w:rPr>
                <w:sz w:val="24"/>
                <w:szCs w:val="24"/>
              </w:rPr>
              <w:t>-1</w:t>
            </w:r>
            <w:r>
              <w:rPr>
                <w:sz w:val="24"/>
                <w:szCs w:val="24"/>
              </w:rPr>
              <w:t>5</w:t>
            </w:r>
          </w:p>
        </w:tc>
        <w:tc>
          <w:tcPr>
            <w:tcW w:w="1134" w:type="dxa"/>
          </w:tcPr>
          <w:p w:rsidR="00AE5B3C" w:rsidRPr="001C0125" w:rsidRDefault="00E64988" w:rsidP="003D08E8">
            <w:pPr>
              <w:pStyle w:val="NoSpacing"/>
              <w:jc w:val="center"/>
              <w:rPr>
                <w:sz w:val="24"/>
                <w:szCs w:val="24"/>
              </w:rPr>
            </w:pPr>
            <w:r>
              <w:rPr>
                <w:sz w:val="24"/>
                <w:szCs w:val="24"/>
              </w:rPr>
              <w:t>7</w:t>
            </w:r>
          </w:p>
        </w:tc>
      </w:tr>
      <w:tr w:rsidR="00AE5B3C" w:rsidRPr="000B498B" w:rsidTr="003D08E8">
        <w:tc>
          <w:tcPr>
            <w:tcW w:w="1701" w:type="dxa"/>
          </w:tcPr>
          <w:p w:rsidR="00AE5B3C" w:rsidRPr="001C0125" w:rsidRDefault="002D57D2" w:rsidP="003D08E8">
            <w:pPr>
              <w:pStyle w:val="NoSpacing"/>
              <w:jc w:val="center"/>
              <w:rPr>
                <w:sz w:val="24"/>
                <w:szCs w:val="24"/>
              </w:rPr>
            </w:pPr>
            <w:r w:rsidRPr="001C0125">
              <w:rPr>
                <w:sz w:val="24"/>
                <w:szCs w:val="24"/>
              </w:rPr>
              <w:t>2.8</w:t>
            </w:r>
          </w:p>
        </w:tc>
        <w:tc>
          <w:tcPr>
            <w:tcW w:w="5954" w:type="dxa"/>
          </w:tcPr>
          <w:p w:rsidR="00AE5B3C" w:rsidRPr="001C0125" w:rsidRDefault="002D57D2" w:rsidP="003D08E8">
            <w:pPr>
              <w:jc w:val="both"/>
              <w:rPr>
                <w:sz w:val="24"/>
                <w:szCs w:val="24"/>
              </w:rPr>
            </w:pPr>
            <w:r w:rsidRPr="001C0125">
              <w:rPr>
                <w:sz w:val="24"/>
                <w:szCs w:val="24"/>
              </w:rPr>
              <w:t xml:space="preserve">Re-Constitution of the State Advisory </w:t>
            </w:r>
            <w:r w:rsidR="00D80863" w:rsidRPr="001C0125">
              <w:rPr>
                <w:sz w:val="24"/>
                <w:szCs w:val="24"/>
              </w:rPr>
              <w:t>Committee</w:t>
            </w:r>
          </w:p>
        </w:tc>
        <w:tc>
          <w:tcPr>
            <w:tcW w:w="1134" w:type="dxa"/>
          </w:tcPr>
          <w:p w:rsidR="00AE5B3C" w:rsidRPr="001C0125" w:rsidRDefault="008621BB" w:rsidP="003D08E8">
            <w:pPr>
              <w:pStyle w:val="NoSpacing"/>
              <w:jc w:val="center"/>
              <w:rPr>
                <w:sz w:val="24"/>
                <w:szCs w:val="24"/>
              </w:rPr>
            </w:pPr>
            <w:r>
              <w:rPr>
                <w:sz w:val="24"/>
                <w:szCs w:val="24"/>
              </w:rPr>
              <w:t>10</w:t>
            </w:r>
          </w:p>
        </w:tc>
      </w:tr>
      <w:tr w:rsidR="00AE5B3C" w:rsidRPr="000B498B" w:rsidTr="003D08E8">
        <w:tc>
          <w:tcPr>
            <w:tcW w:w="1701" w:type="dxa"/>
          </w:tcPr>
          <w:p w:rsidR="00AE5B3C" w:rsidRPr="001C0125" w:rsidRDefault="002D57D2" w:rsidP="003D08E8">
            <w:pPr>
              <w:pStyle w:val="NoSpacing"/>
              <w:jc w:val="center"/>
              <w:rPr>
                <w:sz w:val="24"/>
                <w:szCs w:val="24"/>
              </w:rPr>
            </w:pPr>
            <w:r w:rsidRPr="001C0125">
              <w:rPr>
                <w:sz w:val="24"/>
                <w:szCs w:val="24"/>
              </w:rPr>
              <w:t>2.9</w:t>
            </w:r>
          </w:p>
        </w:tc>
        <w:tc>
          <w:tcPr>
            <w:tcW w:w="5954" w:type="dxa"/>
          </w:tcPr>
          <w:p w:rsidR="00AE5B3C" w:rsidRPr="001C0125" w:rsidRDefault="002D57D2" w:rsidP="003D08E8">
            <w:pPr>
              <w:jc w:val="both"/>
              <w:rPr>
                <w:sz w:val="24"/>
                <w:szCs w:val="24"/>
              </w:rPr>
            </w:pPr>
            <w:r w:rsidRPr="001C0125">
              <w:rPr>
                <w:sz w:val="24"/>
                <w:szCs w:val="24"/>
              </w:rPr>
              <w:t>Training and Capacity Building</w:t>
            </w:r>
          </w:p>
        </w:tc>
        <w:tc>
          <w:tcPr>
            <w:tcW w:w="1134" w:type="dxa"/>
          </w:tcPr>
          <w:p w:rsidR="00AE5B3C" w:rsidRPr="001C0125" w:rsidRDefault="008621BB" w:rsidP="003D08E8">
            <w:pPr>
              <w:pStyle w:val="NoSpacing"/>
              <w:jc w:val="center"/>
              <w:rPr>
                <w:sz w:val="24"/>
                <w:szCs w:val="24"/>
              </w:rPr>
            </w:pPr>
            <w:r>
              <w:rPr>
                <w:sz w:val="24"/>
                <w:szCs w:val="24"/>
              </w:rPr>
              <w:t>10</w:t>
            </w:r>
          </w:p>
        </w:tc>
      </w:tr>
      <w:tr w:rsidR="00D80863" w:rsidRPr="000B498B" w:rsidTr="003D08E8">
        <w:tc>
          <w:tcPr>
            <w:tcW w:w="8789" w:type="dxa"/>
            <w:gridSpan w:val="3"/>
          </w:tcPr>
          <w:p w:rsidR="00D80863" w:rsidRPr="001C0125" w:rsidRDefault="00D80863" w:rsidP="00D80863">
            <w:pPr>
              <w:pStyle w:val="NoSpacing"/>
              <w:rPr>
                <w:sz w:val="24"/>
                <w:szCs w:val="24"/>
              </w:rPr>
            </w:pPr>
            <w:r w:rsidRPr="001C0125">
              <w:rPr>
                <w:b/>
                <w:sz w:val="24"/>
                <w:szCs w:val="24"/>
              </w:rPr>
              <w:t>Chapter- 3</w:t>
            </w:r>
          </w:p>
        </w:tc>
      </w:tr>
      <w:tr w:rsidR="00AE5B3C" w:rsidRPr="000B498B" w:rsidTr="003D08E8">
        <w:tc>
          <w:tcPr>
            <w:tcW w:w="1701" w:type="dxa"/>
          </w:tcPr>
          <w:p w:rsidR="00AE5B3C" w:rsidRPr="001C0125" w:rsidRDefault="002D57D2" w:rsidP="003D08E8">
            <w:pPr>
              <w:pStyle w:val="NoSpacing"/>
              <w:jc w:val="center"/>
              <w:rPr>
                <w:sz w:val="24"/>
                <w:szCs w:val="24"/>
              </w:rPr>
            </w:pPr>
            <w:r w:rsidRPr="001C0125">
              <w:rPr>
                <w:sz w:val="24"/>
                <w:szCs w:val="24"/>
              </w:rPr>
              <w:t>3.1</w:t>
            </w:r>
          </w:p>
        </w:tc>
        <w:tc>
          <w:tcPr>
            <w:tcW w:w="5954" w:type="dxa"/>
          </w:tcPr>
          <w:p w:rsidR="00AE5B3C" w:rsidRPr="001C0125" w:rsidRDefault="00D80863" w:rsidP="003D08E8">
            <w:pPr>
              <w:jc w:val="both"/>
              <w:rPr>
                <w:sz w:val="24"/>
                <w:szCs w:val="24"/>
              </w:rPr>
            </w:pPr>
            <w:r w:rsidRPr="001C0125">
              <w:rPr>
                <w:sz w:val="24"/>
                <w:szCs w:val="24"/>
              </w:rPr>
              <w:t>Regulatory Disputes</w:t>
            </w:r>
          </w:p>
        </w:tc>
        <w:tc>
          <w:tcPr>
            <w:tcW w:w="1134" w:type="dxa"/>
          </w:tcPr>
          <w:p w:rsidR="00AE5B3C" w:rsidRPr="001C0125" w:rsidRDefault="00F83FD2" w:rsidP="003D08E8">
            <w:pPr>
              <w:pStyle w:val="NoSpacing"/>
              <w:jc w:val="center"/>
              <w:rPr>
                <w:sz w:val="24"/>
                <w:szCs w:val="24"/>
              </w:rPr>
            </w:pPr>
            <w:r>
              <w:rPr>
                <w:sz w:val="24"/>
                <w:szCs w:val="24"/>
              </w:rPr>
              <w:t>1</w:t>
            </w:r>
            <w:r w:rsidR="008621BB">
              <w:rPr>
                <w:sz w:val="24"/>
                <w:szCs w:val="24"/>
              </w:rPr>
              <w:t>1</w:t>
            </w:r>
          </w:p>
        </w:tc>
      </w:tr>
      <w:tr w:rsidR="00AE5B3C" w:rsidRPr="000B498B" w:rsidTr="003D08E8">
        <w:tc>
          <w:tcPr>
            <w:tcW w:w="1701" w:type="dxa"/>
          </w:tcPr>
          <w:p w:rsidR="00AE5B3C" w:rsidRPr="001C0125" w:rsidRDefault="00D80863" w:rsidP="003D08E8">
            <w:pPr>
              <w:pStyle w:val="NoSpacing"/>
              <w:jc w:val="center"/>
              <w:rPr>
                <w:sz w:val="24"/>
                <w:szCs w:val="24"/>
              </w:rPr>
            </w:pPr>
            <w:r w:rsidRPr="001C0125">
              <w:rPr>
                <w:sz w:val="24"/>
                <w:szCs w:val="24"/>
              </w:rPr>
              <w:t>3.2</w:t>
            </w:r>
          </w:p>
        </w:tc>
        <w:tc>
          <w:tcPr>
            <w:tcW w:w="5954" w:type="dxa"/>
          </w:tcPr>
          <w:p w:rsidR="00AE5B3C" w:rsidRPr="001C0125" w:rsidRDefault="00AE5B3C" w:rsidP="003D08E8">
            <w:pPr>
              <w:jc w:val="both"/>
              <w:rPr>
                <w:sz w:val="24"/>
                <w:szCs w:val="24"/>
              </w:rPr>
            </w:pPr>
            <w:r w:rsidRPr="001C0125">
              <w:rPr>
                <w:sz w:val="24"/>
                <w:szCs w:val="24"/>
              </w:rPr>
              <w:t>Grant of Licence</w:t>
            </w:r>
          </w:p>
        </w:tc>
        <w:tc>
          <w:tcPr>
            <w:tcW w:w="1134" w:type="dxa"/>
          </w:tcPr>
          <w:p w:rsidR="00AE5B3C" w:rsidRPr="001C0125" w:rsidRDefault="00F83FD2" w:rsidP="003D08E8">
            <w:pPr>
              <w:pStyle w:val="NoSpacing"/>
              <w:jc w:val="center"/>
              <w:rPr>
                <w:sz w:val="24"/>
                <w:szCs w:val="24"/>
              </w:rPr>
            </w:pPr>
            <w:r>
              <w:rPr>
                <w:sz w:val="24"/>
                <w:szCs w:val="24"/>
              </w:rPr>
              <w:t>1</w:t>
            </w:r>
            <w:r w:rsidR="008621BB">
              <w:rPr>
                <w:sz w:val="24"/>
                <w:szCs w:val="24"/>
              </w:rPr>
              <w:t>1</w:t>
            </w:r>
          </w:p>
        </w:tc>
      </w:tr>
      <w:tr w:rsidR="00AE5B3C" w:rsidRPr="000B498B" w:rsidTr="003D08E8">
        <w:tc>
          <w:tcPr>
            <w:tcW w:w="1701" w:type="dxa"/>
          </w:tcPr>
          <w:p w:rsidR="00AE5B3C" w:rsidRPr="001C0125" w:rsidRDefault="00D80863" w:rsidP="003D08E8">
            <w:pPr>
              <w:pStyle w:val="NoSpacing"/>
              <w:jc w:val="center"/>
              <w:rPr>
                <w:sz w:val="24"/>
                <w:szCs w:val="24"/>
              </w:rPr>
            </w:pPr>
            <w:r w:rsidRPr="001C0125">
              <w:rPr>
                <w:sz w:val="24"/>
                <w:szCs w:val="24"/>
              </w:rPr>
              <w:t>3.3</w:t>
            </w:r>
          </w:p>
        </w:tc>
        <w:tc>
          <w:tcPr>
            <w:tcW w:w="5954" w:type="dxa"/>
          </w:tcPr>
          <w:p w:rsidR="00AE5B3C" w:rsidRPr="001C0125" w:rsidRDefault="00AE5B3C" w:rsidP="003D08E8">
            <w:pPr>
              <w:jc w:val="both"/>
              <w:rPr>
                <w:sz w:val="24"/>
                <w:szCs w:val="24"/>
              </w:rPr>
            </w:pPr>
            <w:r w:rsidRPr="001C0125">
              <w:rPr>
                <w:sz w:val="24"/>
                <w:szCs w:val="24"/>
              </w:rPr>
              <w:t>Standards of Performance and Grievances Redressal</w:t>
            </w:r>
          </w:p>
        </w:tc>
        <w:tc>
          <w:tcPr>
            <w:tcW w:w="1134" w:type="dxa"/>
          </w:tcPr>
          <w:p w:rsidR="00AE5B3C" w:rsidRPr="001C0125" w:rsidRDefault="00F83FD2" w:rsidP="003D08E8">
            <w:pPr>
              <w:pStyle w:val="NoSpacing"/>
              <w:jc w:val="center"/>
              <w:rPr>
                <w:sz w:val="24"/>
                <w:szCs w:val="24"/>
              </w:rPr>
            </w:pPr>
            <w:r>
              <w:rPr>
                <w:sz w:val="24"/>
                <w:szCs w:val="24"/>
              </w:rPr>
              <w:t>1</w:t>
            </w:r>
            <w:r w:rsidR="008621BB">
              <w:rPr>
                <w:sz w:val="24"/>
                <w:szCs w:val="24"/>
              </w:rPr>
              <w:t>1</w:t>
            </w:r>
          </w:p>
        </w:tc>
      </w:tr>
      <w:tr w:rsidR="00AE5B3C" w:rsidRPr="000B498B" w:rsidTr="003D08E8">
        <w:tc>
          <w:tcPr>
            <w:tcW w:w="1701" w:type="dxa"/>
          </w:tcPr>
          <w:p w:rsidR="00AE5B3C" w:rsidRPr="001C0125" w:rsidRDefault="00D80863" w:rsidP="003D08E8">
            <w:pPr>
              <w:pStyle w:val="NoSpacing"/>
              <w:jc w:val="center"/>
              <w:rPr>
                <w:sz w:val="24"/>
                <w:szCs w:val="24"/>
              </w:rPr>
            </w:pPr>
            <w:r w:rsidRPr="001C0125">
              <w:rPr>
                <w:sz w:val="24"/>
                <w:szCs w:val="24"/>
              </w:rPr>
              <w:t>3.4</w:t>
            </w:r>
          </w:p>
        </w:tc>
        <w:tc>
          <w:tcPr>
            <w:tcW w:w="5954" w:type="dxa"/>
          </w:tcPr>
          <w:p w:rsidR="00AE5B3C" w:rsidRPr="001C0125" w:rsidRDefault="00AE5B3C" w:rsidP="003D08E8">
            <w:pPr>
              <w:jc w:val="both"/>
              <w:rPr>
                <w:sz w:val="24"/>
                <w:szCs w:val="24"/>
              </w:rPr>
            </w:pPr>
            <w:r w:rsidRPr="001C0125">
              <w:rPr>
                <w:sz w:val="24"/>
                <w:szCs w:val="24"/>
              </w:rPr>
              <w:t>Adjudication of Disputes and Differences</w:t>
            </w:r>
          </w:p>
        </w:tc>
        <w:tc>
          <w:tcPr>
            <w:tcW w:w="1134" w:type="dxa"/>
          </w:tcPr>
          <w:p w:rsidR="00AE5B3C" w:rsidRPr="001C0125" w:rsidRDefault="00F83FD2" w:rsidP="003D08E8">
            <w:pPr>
              <w:pStyle w:val="NoSpacing"/>
              <w:jc w:val="center"/>
              <w:rPr>
                <w:sz w:val="24"/>
                <w:szCs w:val="24"/>
              </w:rPr>
            </w:pPr>
            <w:r>
              <w:rPr>
                <w:sz w:val="24"/>
                <w:szCs w:val="24"/>
              </w:rPr>
              <w:t>1</w:t>
            </w:r>
            <w:r w:rsidR="008621BB">
              <w:rPr>
                <w:sz w:val="24"/>
                <w:szCs w:val="24"/>
              </w:rPr>
              <w:t>1</w:t>
            </w:r>
          </w:p>
        </w:tc>
      </w:tr>
      <w:tr w:rsidR="00D80863" w:rsidRPr="000B498B" w:rsidTr="003D08E8">
        <w:tc>
          <w:tcPr>
            <w:tcW w:w="8789" w:type="dxa"/>
            <w:gridSpan w:val="3"/>
          </w:tcPr>
          <w:p w:rsidR="00D80863" w:rsidRPr="001C0125" w:rsidRDefault="00D80863" w:rsidP="00D80863">
            <w:pPr>
              <w:pStyle w:val="NoSpacing"/>
              <w:rPr>
                <w:sz w:val="24"/>
                <w:szCs w:val="24"/>
              </w:rPr>
            </w:pPr>
            <w:r w:rsidRPr="001C0125">
              <w:rPr>
                <w:b/>
                <w:sz w:val="24"/>
                <w:szCs w:val="24"/>
              </w:rPr>
              <w:t>Chapter-4</w:t>
            </w:r>
          </w:p>
        </w:tc>
      </w:tr>
      <w:tr w:rsidR="007019F5" w:rsidRPr="000B498B" w:rsidTr="005F2E7B">
        <w:tc>
          <w:tcPr>
            <w:tcW w:w="1701" w:type="dxa"/>
          </w:tcPr>
          <w:p w:rsidR="007019F5" w:rsidRPr="001C0125" w:rsidRDefault="007019F5" w:rsidP="003D08E8">
            <w:pPr>
              <w:pStyle w:val="NoSpacing"/>
              <w:jc w:val="center"/>
              <w:rPr>
                <w:sz w:val="24"/>
                <w:szCs w:val="24"/>
              </w:rPr>
            </w:pPr>
            <w:r w:rsidRPr="001C0125">
              <w:rPr>
                <w:sz w:val="24"/>
                <w:szCs w:val="24"/>
              </w:rPr>
              <w:t>4.1</w:t>
            </w:r>
          </w:p>
        </w:tc>
        <w:tc>
          <w:tcPr>
            <w:tcW w:w="5954" w:type="dxa"/>
            <w:tcBorders>
              <w:right w:val="outset" w:sz="6" w:space="0" w:color="auto"/>
            </w:tcBorders>
          </w:tcPr>
          <w:p w:rsidR="007019F5" w:rsidRPr="001C0125" w:rsidRDefault="007019F5" w:rsidP="003D08E8">
            <w:pPr>
              <w:pStyle w:val="NoSpacing"/>
              <w:rPr>
                <w:sz w:val="24"/>
                <w:szCs w:val="24"/>
              </w:rPr>
            </w:pPr>
            <w:r w:rsidRPr="001C0125">
              <w:rPr>
                <w:sz w:val="24"/>
                <w:szCs w:val="24"/>
              </w:rPr>
              <w:t>CAGR of Energy Sales and Specific Consumption in the State</w:t>
            </w:r>
          </w:p>
        </w:tc>
        <w:tc>
          <w:tcPr>
            <w:tcW w:w="1134" w:type="dxa"/>
            <w:tcBorders>
              <w:left w:val="outset" w:sz="6" w:space="0" w:color="auto"/>
            </w:tcBorders>
          </w:tcPr>
          <w:p w:rsidR="007019F5" w:rsidRPr="001C0125" w:rsidRDefault="00F83FD2" w:rsidP="00F83FD2">
            <w:pPr>
              <w:pStyle w:val="NoSpacing"/>
              <w:jc w:val="center"/>
              <w:rPr>
                <w:sz w:val="24"/>
                <w:szCs w:val="24"/>
              </w:rPr>
            </w:pPr>
            <w:r>
              <w:rPr>
                <w:sz w:val="24"/>
                <w:szCs w:val="24"/>
              </w:rPr>
              <w:t>1</w:t>
            </w:r>
            <w:r w:rsidR="00130E13">
              <w:rPr>
                <w:sz w:val="24"/>
                <w:szCs w:val="24"/>
              </w:rPr>
              <w:t>2</w:t>
            </w:r>
          </w:p>
        </w:tc>
      </w:tr>
      <w:tr w:rsidR="00AE5B3C" w:rsidRPr="000B498B" w:rsidTr="007019F5">
        <w:tc>
          <w:tcPr>
            <w:tcW w:w="1701" w:type="dxa"/>
          </w:tcPr>
          <w:p w:rsidR="00AE5B3C" w:rsidRPr="001C0125" w:rsidRDefault="005F2E7B" w:rsidP="003D08E8">
            <w:pPr>
              <w:pStyle w:val="NoSpacing"/>
              <w:jc w:val="center"/>
              <w:rPr>
                <w:sz w:val="24"/>
                <w:szCs w:val="24"/>
              </w:rPr>
            </w:pPr>
            <w:r w:rsidRPr="001C0125">
              <w:rPr>
                <w:sz w:val="24"/>
                <w:szCs w:val="24"/>
              </w:rPr>
              <w:t>4.2</w:t>
            </w:r>
          </w:p>
        </w:tc>
        <w:tc>
          <w:tcPr>
            <w:tcW w:w="5954" w:type="dxa"/>
            <w:tcBorders>
              <w:right w:val="outset" w:sz="6" w:space="0" w:color="auto"/>
            </w:tcBorders>
          </w:tcPr>
          <w:p w:rsidR="00AE5B3C" w:rsidRPr="001C0125" w:rsidRDefault="005F2E7B" w:rsidP="003D08E8">
            <w:pPr>
              <w:rPr>
                <w:sz w:val="24"/>
                <w:szCs w:val="24"/>
              </w:rPr>
            </w:pPr>
            <w:r w:rsidRPr="001C0125">
              <w:rPr>
                <w:sz w:val="24"/>
                <w:szCs w:val="24"/>
              </w:rPr>
              <w:t>Trajectory for Loss Reduction</w:t>
            </w:r>
          </w:p>
        </w:tc>
        <w:tc>
          <w:tcPr>
            <w:tcW w:w="1134" w:type="dxa"/>
            <w:tcBorders>
              <w:left w:val="outset" w:sz="6" w:space="0" w:color="auto"/>
            </w:tcBorders>
          </w:tcPr>
          <w:p w:rsidR="00AE5B3C" w:rsidRPr="001C0125" w:rsidRDefault="00F83FD2" w:rsidP="003D08E8">
            <w:pPr>
              <w:pStyle w:val="NoSpacing"/>
              <w:jc w:val="center"/>
              <w:rPr>
                <w:sz w:val="24"/>
                <w:szCs w:val="24"/>
              </w:rPr>
            </w:pPr>
            <w:r>
              <w:rPr>
                <w:sz w:val="24"/>
                <w:szCs w:val="24"/>
              </w:rPr>
              <w:t>1</w:t>
            </w:r>
            <w:r w:rsidR="00130E13">
              <w:rPr>
                <w:sz w:val="24"/>
                <w:szCs w:val="24"/>
              </w:rPr>
              <w:t>3</w:t>
            </w:r>
          </w:p>
        </w:tc>
      </w:tr>
      <w:tr w:rsidR="00AE5B3C" w:rsidRPr="000B498B" w:rsidTr="003D08E8">
        <w:tc>
          <w:tcPr>
            <w:tcW w:w="1701" w:type="dxa"/>
          </w:tcPr>
          <w:p w:rsidR="00AE5B3C" w:rsidRPr="001C0125" w:rsidRDefault="005F2E7B" w:rsidP="003D08E8">
            <w:pPr>
              <w:pStyle w:val="NoSpacing"/>
              <w:jc w:val="center"/>
              <w:rPr>
                <w:sz w:val="24"/>
                <w:szCs w:val="24"/>
              </w:rPr>
            </w:pPr>
            <w:r w:rsidRPr="001C0125">
              <w:rPr>
                <w:sz w:val="24"/>
                <w:szCs w:val="24"/>
              </w:rPr>
              <w:t>4.3</w:t>
            </w:r>
          </w:p>
        </w:tc>
        <w:tc>
          <w:tcPr>
            <w:tcW w:w="5954" w:type="dxa"/>
          </w:tcPr>
          <w:p w:rsidR="00AE5B3C" w:rsidRPr="001C0125" w:rsidRDefault="005F2E7B" w:rsidP="003D08E8">
            <w:pPr>
              <w:rPr>
                <w:sz w:val="24"/>
                <w:szCs w:val="24"/>
              </w:rPr>
            </w:pPr>
            <w:r w:rsidRPr="001C0125">
              <w:rPr>
                <w:sz w:val="24"/>
                <w:szCs w:val="24"/>
              </w:rPr>
              <w:t>Energy Requirement and Availability</w:t>
            </w:r>
          </w:p>
        </w:tc>
        <w:tc>
          <w:tcPr>
            <w:tcW w:w="1134" w:type="dxa"/>
          </w:tcPr>
          <w:p w:rsidR="00AE5B3C" w:rsidRPr="001C0125" w:rsidRDefault="00F83FD2" w:rsidP="003D08E8">
            <w:pPr>
              <w:pStyle w:val="NoSpacing"/>
              <w:jc w:val="center"/>
              <w:rPr>
                <w:sz w:val="24"/>
                <w:szCs w:val="24"/>
              </w:rPr>
            </w:pPr>
            <w:r>
              <w:rPr>
                <w:sz w:val="24"/>
                <w:szCs w:val="24"/>
              </w:rPr>
              <w:t>1</w:t>
            </w:r>
            <w:r w:rsidR="00130E13">
              <w:rPr>
                <w:sz w:val="24"/>
                <w:szCs w:val="24"/>
              </w:rPr>
              <w:t>3</w:t>
            </w:r>
          </w:p>
        </w:tc>
      </w:tr>
      <w:tr w:rsidR="00AE5B3C" w:rsidRPr="000B498B" w:rsidTr="003D08E8">
        <w:tc>
          <w:tcPr>
            <w:tcW w:w="1701" w:type="dxa"/>
          </w:tcPr>
          <w:p w:rsidR="00AE5B3C" w:rsidRPr="001C0125" w:rsidRDefault="00AE5B3C" w:rsidP="003D08E8">
            <w:pPr>
              <w:pStyle w:val="NoSpacing"/>
              <w:jc w:val="center"/>
              <w:rPr>
                <w:b/>
                <w:sz w:val="24"/>
                <w:szCs w:val="24"/>
              </w:rPr>
            </w:pPr>
            <w:r w:rsidRPr="001C0125">
              <w:rPr>
                <w:b/>
                <w:sz w:val="24"/>
                <w:szCs w:val="24"/>
              </w:rPr>
              <w:t>Annexure-I</w:t>
            </w:r>
          </w:p>
        </w:tc>
        <w:tc>
          <w:tcPr>
            <w:tcW w:w="5954" w:type="dxa"/>
          </w:tcPr>
          <w:p w:rsidR="00AE5B3C" w:rsidRPr="001C0125" w:rsidRDefault="005F2E7B" w:rsidP="003D08E8">
            <w:pPr>
              <w:pStyle w:val="NoSpacing"/>
              <w:rPr>
                <w:b/>
                <w:sz w:val="24"/>
                <w:szCs w:val="24"/>
              </w:rPr>
            </w:pPr>
            <w:r w:rsidRPr="001C0125">
              <w:rPr>
                <w:b/>
                <w:sz w:val="24"/>
                <w:szCs w:val="24"/>
              </w:rPr>
              <w:t>Tariff Schedule for F.Y. 2014</w:t>
            </w:r>
            <w:r w:rsidR="00AE5B3C" w:rsidRPr="001C0125">
              <w:rPr>
                <w:b/>
                <w:sz w:val="24"/>
                <w:szCs w:val="24"/>
              </w:rPr>
              <w:t>-1</w:t>
            </w:r>
            <w:r w:rsidRPr="001C0125">
              <w:rPr>
                <w:b/>
                <w:sz w:val="24"/>
                <w:szCs w:val="24"/>
              </w:rPr>
              <w:t>5</w:t>
            </w:r>
          </w:p>
        </w:tc>
        <w:tc>
          <w:tcPr>
            <w:tcW w:w="1134" w:type="dxa"/>
          </w:tcPr>
          <w:p w:rsidR="00AE5B3C" w:rsidRPr="001C0125" w:rsidRDefault="00F83FD2" w:rsidP="003D08E8">
            <w:pPr>
              <w:pStyle w:val="NoSpacing"/>
              <w:jc w:val="center"/>
              <w:rPr>
                <w:sz w:val="24"/>
                <w:szCs w:val="24"/>
              </w:rPr>
            </w:pPr>
            <w:r>
              <w:rPr>
                <w:sz w:val="24"/>
                <w:szCs w:val="24"/>
              </w:rPr>
              <w:t>1</w:t>
            </w:r>
            <w:r w:rsidR="00CF3E0E">
              <w:rPr>
                <w:sz w:val="24"/>
                <w:szCs w:val="24"/>
              </w:rPr>
              <w:t>4</w:t>
            </w:r>
          </w:p>
        </w:tc>
      </w:tr>
      <w:tr w:rsidR="005F2E7B" w:rsidRPr="000B498B" w:rsidTr="003D08E8">
        <w:tc>
          <w:tcPr>
            <w:tcW w:w="8789" w:type="dxa"/>
            <w:gridSpan w:val="3"/>
          </w:tcPr>
          <w:p w:rsidR="005F2E7B" w:rsidRPr="001C0125" w:rsidRDefault="005F2E7B" w:rsidP="00963280">
            <w:pPr>
              <w:jc w:val="center"/>
              <w:rPr>
                <w:b/>
                <w:sz w:val="24"/>
                <w:szCs w:val="24"/>
              </w:rPr>
            </w:pPr>
            <w:r w:rsidRPr="001C0125">
              <w:rPr>
                <w:b/>
                <w:sz w:val="24"/>
                <w:szCs w:val="24"/>
              </w:rPr>
              <w:t>Photo Gallery</w:t>
            </w:r>
          </w:p>
        </w:tc>
      </w:tr>
    </w:tbl>
    <w:p w:rsidR="00AE5B3C" w:rsidRDefault="00AE5B3C" w:rsidP="00AE5B3C">
      <w:pPr>
        <w:rPr>
          <w:rFonts w:cstheme="minorHAnsi"/>
          <w:b/>
          <w:sz w:val="28"/>
          <w:szCs w:val="28"/>
        </w:rPr>
      </w:pPr>
    </w:p>
    <w:p w:rsidR="00762D54" w:rsidRDefault="00762D54">
      <w:pPr>
        <w:rPr>
          <w:rFonts w:cstheme="minorHAnsi"/>
          <w:b/>
          <w:sz w:val="28"/>
          <w:szCs w:val="28"/>
        </w:rPr>
      </w:pPr>
      <w:r>
        <w:rPr>
          <w:rFonts w:cstheme="minorHAnsi"/>
          <w:b/>
          <w:sz w:val="28"/>
          <w:szCs w:val="28"/>
        </w:rPr>
        <w:br w:type="page"/>
      </w:r>
    </w:p>
    <w:p w:rsidR="00535B65" w:rsidRDefault="00535B65" w:rsidP="00535B65">
      <w:pPr>
        <w:pStyle w:val="Heading1"/>
        <w:sectPr w:rsidR="00535B65" w:rsidSect="004044DB">
          <w:headerReference w:type="default" r:id="rId10"/>
          <w:footerReference w:type="default" r:id="rId11"/>
          <w:pgSz w:w="11907" w:h="16839" w:code="9"/>
          <w:pgMar w:top="993" w:right="992" w:bottom="567" w:left="1440" w:header="708" w:footer="708" w:gutter="0"/>
          <w:pgNumType w:start="1" w:chapStyle="1"/>
          <w:cols w:space="708"/>
          <w:titlePg/>
          <w:docGrid w:linePitch="360"/>
        </w:sectPr>
      </w:pPr>
    </w:p>
    <w:p w:rsidR="00613FD9" w:rsidRPr="00535B65" w:rsidRDefault="00762D54" w:rsidP="00535B65">
      <w:pPr>
        <w:pStyle w:val="Heading1"/>
        <w:ind w:left="3600" w:firstLine="720"/>
      </w:pPr>
      <w:r>
        <w:lastRenderedPageBreak/>
        <w:t>CH</w:t>
      </w:r>
      <w:r w:rsidR="00421E77" w:rsidRPr="00564B65">
        <w:t xml:space="preserve">APTER </w:t>
      </w:r>
      <w:r w:rsidR="00B759AE">
        <w:t>–</w:t>
      </w:r>
      <w:r w:rsidR="00421E77" w:rsidRPr="00564B65">
        <w:t xml:space="preserve"> 1</w:t>
      </w:r>
    </w:p>
    <w:p w:rsidR="00314597" w:rsidRPr="004C2769" w:rsidRDefault="00793721" w:rsidP="00793721">
      <w:pPr>
        <w:ind w:left="131" w:firstLine="720"/>
        <w:rPr>
          <w:rFonts w:cstheme="minorHAnsi"/>
          <w:b/>
          <w:color w:val="FFFF00"/>
          <w:sz w:val="24"/>
          <w:szCs w:val="24"/>
        </w:rPr>
      </w:pPr>
      <w:r w:rsidRPr="00793721">
        <w:rPr>
          <w:rFonts w:cstheme="minorHAnsi"/>
          <w:b/>
          <w:sz w:val="24"/>
          <w:szCs w:val="24"/>
        </w:rPr>
        <w:t>1.1</w:t>
      </w:r>
      <w:r w:rsidRPr="00793721">
        <w:rPr>
          <w:rFonts w:cstheme="minorHAnsi"/>
          <w:b/>
          <w:color w:val="FFFF00"/>
          <w:sz w:val="24"/>
          <w:szCs w:val="24"/>
        </w:rPr>
        <w:t xml:space="preserve"> </w:t>
      </w:r>
      <w:r w:rsidR="00AF1837" w:rsidRPr="00D86288">
        <w:rPr>
          <w:rFonts w:cstheme="minorHAnsi"/>
          <w:b/>
          <w:color w:val="FFFF00"/>
          <w:sz w:val="24"/>
          <w:szCs w:val="24"/>
          <w:highlight w:val="darkGreen"/>
        </w:rPr>
        <w:t>INTRODUCTION</w:t>
      </w:r>
    </w:p>
    <w:p w:rsidR="00F23046" w:rsidRPr="004C2769" w:rsidRDefault="00F23046" w:rsidP="00F23046">
      <w:pPr>
        <w:spacing w:line="360" w:lineRule="auto"/>
        <w:ind w:left="851"/>
        <w:jc w:val="both"/>
        <w:rPr>
          <w:rFonts w:cstheme="minorHAnsi"/>
          <w:sz w:val="24"/>
          <w:szCs w:val="24"/>
        </w:rPr>
      </w:pPr>
      <w:r w:rsidRPr="004C2769">
        <w:rPr>
          <w:rFonts w:cstheme="minorHAnsi"/>
          <w:sz w:val="24"/>
          <w:szCs w:val="24"/>
        </w:rPr>
        <w:t xml:space="preserve">Sikkim is a remote sensitive landlocked Himalayan State with an area of 7096 SqKm and a population of  6,10,577 as per 2011 census. Owing to its small size and population, the requirement of power is also limited. The per capita energy consumption in the State was 328.36 KWh  for 2013-14. Unlike other States in the Country, Sikkim does not have large or </w:t>
      </w:r>
      <w:r w:rsidR="00661D45" w:rsidRPr="004C2769">
        <w:rPr>
          <w:rFonts w:cstheme="minorHAnsi"/>
          <w:sz w:val="24"/>
          <w:szCs w:val="24"/>
        </w:rPr>
        <w:t>heavy industrial</w:t>
      </w:r>
      <w:r w:rsidRPr="004C2769">
        <w:rPr>
          <w:rFonts w:cstheme="minorHAnsi"/>
          <w:sz w:val="24"/>
          <w:szCs w:val="24"/>
        </w:rPr>
        <w:t xml:space="preserve"> units or factories. There are only a few pharmaceutical units and small scale industries. As such, the major chunk of requirement of power requirement of the State comes from the Domestic Category. However, owing to the increasing economic development of the State, a slight growth in the Industrial category has been observed. The growth in power demand in the recent years are also attributable to the construction power requirements for numerous hydropower projects being constructed in the State. The EPDS is the only utility entrusted with the responsibility of transmission and distribution of electricity in the State of Sikkim. The EPDS is a deemed licensee under the provisions of Electricity Act, 2003, in the State of Sikkim. </w:t>
      </w:r>
    </w:p>
    <w:p w:rsidR="00793721" w:rsidRPr="004C2769" w:rsidRDefault="00F23046" w:rsidP="00793721">
      <w:pPr>
        <w:spacing w:line="360" w:lineRule="auto"/>
        <w:ind w:left="851"/>
        <w:jc w:val="both"/>
        <w:rPr>
          <w:rFonts w:cstheme="minorHAnsi"/>
          <w:sz w:val="24"/>
          <w:szCs w:val="24"/>
        </w:rPr>
      </w:pPr>
      <w:r w:rsidRPr="004C2769">
        <w:rPr>
          <w:rFonts w:cstheme="minorHAnsi"/>
          <w:sz w:val="24"/>
          <w:szCs w:val="24"/>
        </w:rPr>
        <w:t xml:space="preserve">The EPDS also own and operates a number of small hydropower projects and diesel generating stations. The EPDS also has a number of micro hydropower projects under execution. Thus the EPDS is also a power generator. Apart from the EPDS, the Sikkim Power Development Corporation Limited (SPDCL), A Government of Sikkim Enterprise also is engaged in the development of small hydropower projects in the State. The SPDCL presently owns and operates 3 (three) small hydropower projects with an installed capacity of 10 MW. </w:t>
      </w:r>
    </w:p>
    <w:p w:rsidR="00F23046" w:rsidRPr="004C2769" w:rsidRDefault="00793721" w:rsidP="00793721">
      <w:pPr>
        <w:ind w:firstLine="720"/>
        <w:rPr>
          <w:rFonts w:cstheme="minorHAnsi"/>
          <w:b/>
          <w:color w:val="FFFF00"/>
          <w:sz w:val="24"/>
          <w:szCs w:val="24"/>
        </w:rPr>
      </w:pPr>
      <w:r w:rsidRPr="00793721">
        <w:rPr>
          <w:rFonts w:cstheme="minorHAnsi"/>
          <w:b/>
          <w:sz w:val="24"/>
          <w:szCs w:val="24"/>
        </w:rPr>
        <w:t>1.2</w:t>
      </w:r>
      <w:r w:rsidRPr="00793721">
        <w:rPr>
          <w:rFonts w:cstheme="minorHAnsi"/>
          <w:b/>
          <w:color w:val="FFFF00"/>
          <w:sz w:val="24"/>
          <w:szCs w:val="24"/>
        </w:rPr>
        <w:t xml:space="preserve"> </w:t>
      </w:r>
      <w:r w:rsidR="00F23046" w:rsidRPr="00D86288">
        <w:rPr>
          <w:rFonts w:cstheme="minorHAnsi"/>
          <w:b/>
          <w:color w:val="FFFF00"/>
          <w:sz w:val="24"/>
          <w:szCs w:val="24"/>
          <w:highlight w:val="darkGreen"/>
        </w:rPr>
        <w:t>SIKKIM STATE ELECTRICITY REGULATORY COMMISSION</w:t>
      </w:r>
    </w:p>
    <w:p w:rsidR="00AB01B7" w:rsidRPr="0065695D" w:rsidRDefault="00823204" w:rsidP="0065695D">
      <w:pPr>
        <w:pStyle w:val="NoSpacing"/>
        <w:ind w:left="720"/>
        <w:jc w:val="both"/>
        <w:rPr>
          <w:rFonts w:cstheme="minorHAnsi"/>
          <w:sz w:val="24"/>
          <w:szCs w:val="24"/>
        </w:rPr>
      </w:pPr>
      <w:r w:rsidRPr="004C2769">
        <w:rPr>
          <w:rFonts w:cstheme="minorHAnsi"/>
          <w:sz w:val="24"/>
          <w:szCs w:val="24"/>
        </w:rPr>
        <w:t xml:space="preserve">Sikkim State Electricity Regulatory Commission was constituted </w:t>
      </w:r>
      <w:r w:rsidR="00F23046" w:rsidRPr="004C2769">
        <w:rPr>
          <w:rFonts w:cstheme="minorHAnsi"/>
          <w:sz w:val="24"/>
          <w:szCs w:val="24"/>
        </w:rPr>
        <w:t xml:space="preserve">by the State Government </w:t>
      </w:r>
      <w:r w:rsidRPr="004C2769">
        <w:rPr>
          <w:rFonts w:cstheme="minorHAnsi"/>
          <w:sz w:val="24"/>
          <w:szCs w:val="24"/>
        </w:rPr>
        <w:t>on 15</w:t>
      </w:r>
      <w:r w:rsidRPr="004C2769">
        <w:rPr>
          <w:rFonts w:cstheme="minorHAnsi"/>
          <w:sz w:val="24"/>
          <w:szCs w:val="24"/>
          <w:vertAlign w:val="superscript"/>
        </w:rPr>
        <w:t>th</w:t>
      </w:r>
      <w:r w:rsidRPr="004C2769">
        <w:rPr>
          <w:rFonts w:cstheme="minorHAnsi"/>
          <w:sz w:val="24"/>
          <w:szCs w:val="24"/>
        </w:rPr>
        <w:t xml:space="preserve"> day of November, 2003 vide Gazette Notification No.28/P/GEN/97/524 Dated 15.11.2003.The Commission is a one member Commission, who is the Chairperson.  The Commission is presently in its</w:t>
      </w:r>
      <w:r w:rsidR="001074E1" w:rsidRPr="004C2769">
        <w:rPr>
          <w:rFonts w:cstheme="minorHAnsi"/>
          <w:sz w:val="24"/>
          <w:szCs w:val="24"/>
        </w:rPr>
        <w:t xml:space="preserve"> 5</w:t>
      </w:r>
      <w:r w:rsidR="001074E1" w:rsidRPr="004C2769">
        <w:rPr>
          <w:rFonts w:cstheme="minorHAnsi"/>
          <w:sz w:val="24"/>
          <w:szCs w:val="24"/>
          <w:vertAlign w:val="superscript"/>
        </w:rPr>
        <w:t>th</w:t>
      </w:r>
      <w:r w:rsidR="001074E1" w:rsidRPr="004C2769">
        <w:rPr>
          <w:rFonts w:cstheme="minorHAnsi"/>
          <w:sz w:val="24"/>
          <w:szCs w:val="24"/>
        </w:rPr>
        <w:t xml:space="preserve"> </w:t>
      </w:r>
      <w:r w:rsidRPr="004C2769">
        <w:rPr>
          <w:rFonts w:cstheme="minorHAnsi"/>
          <w:sz w:val="24"/>
          <w:szCs w:val="24"/>
        </w:rPr>
        <w:t xml:space="preserve"> year of operation since the appointment of the Chairperson in April 2011. Presently, Shri. T.T. Dorji, IAS( Retd.) is hold</w:t>
      </w:r>
      <w:r w:rsidR="00FD692C">
        <w:rPr>
          <w:rFonts w:cstheme="minorHAnsi"/>
          <w:sz w:val="24"/>
          <w:szCs w:val="24"/>
        </w:rPr>
        <w:t>ing the post of the Chairperson.</w:t>
      </w:r>
    </w:p>
    <w:p w:rsidR="00B759AE" w:rsidRPr="00AB01B7" w:rsidRDefault="00AB01B7" w:rsidP="00AB01B7">
      <w:pPr>
        <w:pStyle w:val="NoSpacing"/>
        <w:ind w:left="720"/>
        <w:jc w:val="both"/>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421E77" w:rsidRDefault="00421E77" w:rsidP="00421E77">
      <w:pPr>
        <w:pStyle w:val="NoSpacing"/>
        <w:ind w:left="720"/>
        <w:jc w:val="center"/>
        <w:rPr>
          <w:rFonts w:cstheme="minorHAnsi"/>
          <w:b/>
          <w:sz w:val="28"/>
          <w:szCs w:val="28"/>
        </w:rPr>
      </w:pPr>
      <w:r w:rsidRPr="00564B65">
        <w:rPr>
          <w:rFonts w:cstheme="minorHAnsi"/>
          <w:b/>
          <w:sz w:val="28"/>
          <w:szCs w:val="28"/>
        </w:rPr>
        <w:lastRenderedPageBreak/>
        <w:t>CHAPTER -2</w:t>
      </w:r>
    </w:p>
    <w:p w:rsidR="00421E77" w:rsidRDefault="00421E77" w:rsidP="00BD7339">
      <w:pPr>
        <w:pStyle w:val="NoSpacing"/>
        <w:jc w:val="both"/>
        <w:rPr>
          <w:rFonts w:cstheme="minorHAnsi"/>
          <w:b/>
          <w:color w:val="FFFF00"/>
          <w:sz w:val="24"/>
          <w:szCs w:val="24"/>
          <w:highlight w:val="darkYellow"/>
        </w:rPr>
      </w:pPr>
    </w:p>
    <w:p w:rsidR="009300A1" w:rsidRPr="004C2769" w:rsidRDefault="003E1206" w:rsidP="00823204">
      <w:pPr>
        <w:pStyle w:val="NoSpacing"/>
        <w:ind w:left="720"/>
        <w:jc w:val="both"/>
        <w:rPr>
          <w:rFonts w:cstheme="minorHAnsi"/>
          <w:b/>
          <w:color w:val="FFFF00"/>
          <w:sz w:val="24"/>
          <w:szCs w:val="24"/>
        </w:rPr>
      </w:pPr>
      <w:r w:rsidRPr="003E1206">
        <w:rPr>
          <w:rFonts w:cstheme="minorHAnsi"/>
          <w:b/>
          <w:sz w:val="24"/>
          <w:szCs w:val="24"/>
        </w:rPr>
        <w:t>2.1</w:t>
      </w:r>
      <w:r w:rsidRPr="003E1206">
        <w:rPr>
          <w:rFonts w:cstheme="minorHAnsi"/>
          <w:b/>
          <w:color w:val="FFFF00"/>
          <w:sz w:val="24"/>
          <w:szCs w:val="24"/>
        </w:rPr>
        <w:t xml:space="preserve"> </w:t>
      </w:r>
      <w:r w:rsidR="009300A1" w:rsidRPr="00D86288">
        <w:rPr>
          <w:rFonts w:cstheme="minorHAnsi"/>
          <w:b/>
          <w:color w:val="FFFF00"/>
          <w:sz w:val="24"/>
          <w:szCs w:val="24"/>
          <w:highlight w:val="darkGreen"/>
        </w:rPr>
        <w:t xml:space="preserve">ACTIVITIES OF THE COMMISSION </w:t>
      </w:r>
    </w:p>
    <w:p w:rsidR="009300A1" w:rsidRPr="004C2769" w:rsidRDefault="009300A1" w:rsidP="00823204">
      <w:pPr>
        <w:pStyle w:val="NoSpacing"/>
        <w:ind w:left="720"/>
        <w:jc w:val="both"/>
        <w:rPr>
          <w:rFonts w:cstheme="minorHAnsi"/>
          <w:sz w:val="24"/>
          <w:szCs w:val="24"/>
        </w:rPr>
      </w:pPr>
    </w:p>
    <w:p w:rsidR="009300A1" w:rsidRPr="004C2769" w:rsidRDefault="001F3C0D" w:rsidP="00823204">
      <w:pPr>
        <w:pStyle w:val="NoSpacing"/>
        <w:ind w:left="720"/>
        <w:jc w:val="both"/>
        <w:rPr>
          <w:rFonts w:cstheme="minorHAnsi"/>
          <w:sz w:val="24"/>
          <w:szCs w:val="24"/>
        </w:rPr>
      </w:pPr>
      <w:r w:rsidRPr="004C2769">
        <w:rPr>
          <w:rFonts w:cstheme="minorHAnsi"/>
          <w:sz w:val="24"/>
          <w:szCs w:val="24"/>
        </w:rPr>
        <w:t xml:space="preserve">Although </w:t>
      </w:r>
      <w:r w:rsidR="00B26E84" w:rsidRPr="004C2769">
        <w:rPr>
          <w:rFonts w:cstheme="minorHAnsi"/>
          <w:sz w:val="24"/>
          <w:szCs w:val="24"/>
        </w:rPr>
        <w:t>the Commission</w:t>
      </w:r>
      <w:r w:rsidRPr="004C2769">
        <w:rPr>
          <w:rFonts w:cstheme="minorHAnsi"/>
          <w:sz w:val="24"/>
          <w:szCs w:val="24"/>
        </w:rPr>
        <w:t xml:space="preserve"> was constituted </w:t>
      </w:r>
      <w:r w:rsidR="003B4856" w:rsidRPr="004C2769">
        <w:rPr>
          <w:rFonts w:cstheme="minorHAnsi"/>
          <w:sz w:val="24"/>
          <w:szCs w:val="24"/>
        </w:rPr>
        <w:t>in November</w:t>
      </w:r>
      <w:r w:rsidRPr="004C2769">
        <w:rPr>
          <w:rFonts w:cstheme="minorHAnsi"/>
          <w:sz w:val="24"/>
          <w:szCs w:val="24"/>
        </w:rPr>
        <w:t xml:space="preserve"> 2003, its  actual operation could only start from April 2011 i.e. after the appointment of the first Chairperson. However, since then the Commission has come a long way and has </w:t>
      </w:r>
      <w:r w:rsidR="00826AF7" w:rsidRPr="004C2769">
        <w:rPr>
          <w:rFonts w:cstheme="minorHAnsi"/>
          <w:sz w:val="24"/>
          <w:szCs w:val="24"/>
        </w:rPr>
        <w:t xml:space="preserve">been making </w:t>
      </w:r>
      <w:r w:rsidR="00B26E84" w:rsidRPr="004C2769">
        <w:rPr>
          <w:rFonts w:cstheme="minorHAnsi"/>
          <w:sz w:val="24"/>
          <w:szCs w:val="24"/>
        </w:rPr>
        <w:t>unrelenting efforts</w:t>
      </w:r>
      <w:r w:rsidR="00826AF7" w:rsidRPr="004C2769">
        <w:rPr>
          <w:rFonts w:cstheme="minorHAnsi"/>
          <w:sz w:val="24"/>
          <w:szCs w:val="24"/>
        </w:rPr>
        <w:t xml:space="preserve"> to achi</w:t>
      </w:r>
      <w:r w:rsidR="000E3D34" w:rsidRPr="004C2769">
        <w:rPr>
          <w:rFonts w:cstheme="minorHAnsi"/>
          <w:sz w:val="24"/>
          <w:szCs w:val="24"/>
        </w:rPr>
        <w:t>eve the aims and objectives as envisaged in the Electricity Act (</w:t>
      </w:r>
      <w:r w:rsidR="00826AF7" w:rsidRPr="004C2769">
        <w:rPr>
          <w:rFonts w:cstheme="minorHAnsi"/>
          <w:sz w:val="24"/>
          <w:szCs w:val="24"/>
        </w:rPr>
        <w:t>2003</w:t>
      </w:r>
      <w:r w:rsidR="000E3D34" w:rsidRPr="004C2769">
        <w:rPr>
          <w:rFonts w:cstheme="minorHAnsi"/>
          <w:sz w:val="24"/>
          <w:szCs w:val="24"/>
        </w:rPr>
        <w:t>)</w:t>
      </w:r>
      <w:r w:rsidR="00826AF7" w:rsidRPr="004C2769">
        <w:rPr>
          <w:rFonts w:cstheme="minorHAnsi"/>
          <w:sz w:val="24"/>
          <w:szCs w:val="24"/>
        </w:rPr>
        <w:t xml:space="preserve">, the National Tariff Policy and </w:t>
      </w:r>
      <w:r w:rsidR="000E3D34" w:rsidRPr="004C2769">
        <w:rPr>
          <w:rFonts w:cstheme="minorHAnsi"/>
          <w:sz w:val="24"/>
          <w:szCs w:val="24"/>
        </w:rPr>
        <w:t xml:space="preserve">National Electricity Policy. </w:t>
      </w:r>
      <w:r w:rsidR="00B03146" w:rsidRPr="004C2769">
        <w:rPr>
          <w:rFonts w:cstheme="minorHAnsi"/>
          <w:sz w:val="24"/>
          <w:szCs w:val="24"/>
        </w:rPr>
        <w:t xml:space="preserve">The Commission in its efforts towards making the </w:t>
      </w:r>
      <w:r w:rsidR="000473BF" w:rsidRPr="004C2769">
        <w:rPr>
          <w:rFonts w:cstheme="minorHAnsi"/>
          <w:sz w:val="24"/>
          <w:szCs w:val="24"/>
        </w:rPr>
        <w:t xml:space="preserve">power sector </w:t>
      </w:r>
      <w:r w:rsidR="007B63B3" w:rsidRPr="004C2769">
        <w:rPr>
          <w:rFonts w:cstheme="minorHAnsi"/>
          <w:sz w:val="24"/>
          <w:szCs w:val="24"/>
        </w:rPr>
        <w:t xml:space="preserve">in the State more vibrant, investor friendly and </w:t>
      </w:r>
      <w:r w:rsidR="00B03146" w:rsidRPr="004C2769">
        <w:rPr>
          <w:rFonts w:cstheme="minorHAnsi"/>
          <w:sz w:val="24"/>
          <w:szCs w:val="24"/>
        </w:rPr>
        <w:t xml:space="preserve"> </w:t>
      </w:r>
      <w:r w:rsidR="007B63B3" w:rsidRPr="004C2769">
        <w:rPr>
          <w:rFonts w:cstheme="minorHAnsi"/>
          <w:sz w:val="24"/>
          <w:szCs w:val="24"/>
        </w:rPr>
        <w:t xml:space="preserve">providing </w:t>
      </w:r>
      <w:r w:rsidR="00B24266" w:rsidRPr="004C2769">
        <w:rPr>
          <w:rFonts w:cstheme="minorHAnsi"/>
          <w:sz w:val="24"/>
          <w:szCs w:val="24"/>
        </w:rPr>
        <w:t xml:space="preserve">a </w:t>
      </w:r>
      <w:r w:rsidR="007B63B3" w:rsidRPr="004C2769">
        <w:rPr>
          <w:rFonts w:cstheme="minorHAnsi"/>
          <w:sz w:val="24"/>
          <w:szCs w:val="24"/>
        </w:rPr>
        <w:t xml:space="preserve">level playing field </w:t>
      </w:r>
      <w:r w:rsidR="00B24266" w:rsidRPr="004C2769">
        <w:rPr>
          <w:rFonts w:cstheme="minorHAnsi"/>
          <w:sz w:val="24"/>
          <w:szCs w:val="24"/>
        </w:rPr>
        <w:t xml:space="preserve">for all the stake holders has, to begin with, framed and notified several Regulations as mandated to it by the Electricity Act, 2003. </w:t>
      </w:r>
      <w:r w:rsidR="00E629BD" w:rsidRPr="004C2769">
        <w:rPr>
          <w:rFonts w:cstheme="minorHAnsi"/>
          <w:sz w:val="24"/>
          <w:szCs w:val="24"/>
        </w:rPr>
        <w:t>The details of the various Regulations notified by the Commission is given hereunder:</w:t>
      </w:r>
    </w:p>
    <w:p w:rsidR="00B03146" w:rsidRPr="004C2769" w:rsidRDefault="00B03146" w:rsidP="00823204">
      <w:pPr>
        <w:pStyle w:val="NoSpacing"/>
        <w:ind w:left="720"/>
        <w:jc w:val="both"/>
        <w:rPr>
          <w:rFonts w:cstheme="minorHAnsi"/>
          <w:sz w:val="24"/>
          <w:szCs w:val="24"/>
        </w:rPr>
      </w:pPr>
    </w:p>
    <w:p w:rsidR="00B03146" w:rsidRDefault="004538F8" w:rsidP="00823204">
      <w:pPr>
        <w:pStyle w:val="NoSpacing"/>
        <w:ind w:left="720"/>
        <w:jc w:val="both"/>
        <w:rPr>
          <w:rFonts w:cstheme="minorHAnsi"/>
          <w:b/>
          <w:color w:val="FFFF00"/>
          <w:sz w:val="24"/>
          <w:szCs w:val="24"/>
        </w:rPr>
      </w:pPr>
      <w:r w:rsidRPr="003E1206">
        <w:rPr>
          <w:rFonts w:cstheme="minorHAnsi"/>
          <w:b/>
          <w:sz w:val="24"/>
          <w:szCs w:val="24"/>
        </w:rPr>
        <w:t>2.</w:t>
      </w:r>
      <w:r w:rsidR="003E1206">
        <w:rPr>
          <w:rFonts w:cstheme="minorHAnsi"/>
          <w:b/>
          <w:sz w:val="24"/>
          <w:szCs w:val="24"/>
        </w:rPr>
        <w:t>2</w:t>
      </w:r>
      <w:r w:rsidRPr="003E1206">
        <w:rPr>
          <w:rFonts w:cstheme="minorHAnsi"/>
          <w:b/>
          <w:color w:val="FFFF00"/>
          <w:sz w:val="24"/>
          <w:szCs w:val="24"/>
        </w:rPr>
        <w:t xml:space="preserve"> </w:t>
      </w:r>
      <w:r w:rsidR="0093774A" w:rsidRPr="00D86288">
        <w:rPr>
          <w:rFonts w:cstheme="minorHAnsi"/>
          <w:b/>
          <w:color w:val="FFFF00"/>
          <w:sz w:val="24"/>
          <w:szCs w:val="24"/>
          <w:highlight w:val="darkGreen"/>
        </w:rPr>
        <w:t>NOTIFICATION OF REGULATIONS</w:t>
      </w:r>
    </w:p>
    <w:p w:rsidR="0093774A" w:rsidRPr="004C2769" w:rsidRDefault="0093774A" w:rsidP="00823204">
      <w:pPr>
        <w:pStyle w:val="NoSpacing"/>
        <w:ind w:left="720"/>
        <w:jc w:val="both"/>
        <w:rPr>
          <w:rFonts w:cstheme="minorHAnsi"/>
          <w:b/>
          <w:color w:val="FFFF00"/>
          <w:sz w:val="24"/>
          <w:szCs w:val="24"/>
        </w:rPr>
      </w:pPr>
    </w:p>
    <w:p w:rsidR="00E629BD" w:rsidRDefault="0093774A" w:rsidP="00823204">
      <w:pPr>
        <w:pStyle w:val="NoSpacing"/>
        <w:ind w:left="720"/>
        <w:jc w:val="both"/>
        <w:rPr>
          <w:rFonts w:cstheme="minorHAnsi"/>
          <w:sz w:val="24"/>
          <w:szCs w:val="24"/>
        </w:rPr>
      </w:pPr>
      <w:r>
        <w:rPr>
          <w:rFonts w:cstheme="minorHAnsi"/>
          <w:sz w:val="24"/>
          <w:szCs w:val="24"/>
        </w:rPr>
        <w:t xml:space="preserve">The Commission has notified the following 12 Regulations till date. Few other Regulations have also been already framed by the Commission and have been sent for publication in the Government </w:t>
      </w:r>
      <w:r w:rsidR="0028257F">
        <w:rPr>
          <w:rFonts w:cstheme="minorHAnsi"/>
          <w:sz w:val="24"/>
          <w:szCs w:val="24"/>
        </w:rPr>
        <w:t>Gazette</w:t>
      </w:r>
      <w:r>
        <w:rPr>
          <w:rFonts w:cstheme="minorHAnsi"/>
          <w:sz w:val="24"/>
          <w:szCs w:val="24"/>
        </w:rPr>
        <w:t>.</w:t>
      </w:r>
    </w:p>
    <w:p w:rsidR="0093774A" w:rsidRPr="0093774A" w:rsidRDefault="0093774A" w:rsidP="00823204">
      <w:pPr>
        <w:pStyle w:val="NoSpacing"/>
        <w:ind w:left="720"/>
        <w:jc w:val="both"/>
        <w:rPr>
          <w:rFonts w:cstheme="minorHAnsi"/>
          <w:sz w:val="24"/>
          <w:szCs w:val="24"/>
        </w:rPr>
      </w:pPr>
    </w:p>
    <w:tbl>
      <w:tblPr>
        <w:tblStyle w:val="TableGrid"/>
        <w:tblW w:w="0" w:type="auto"/>
        <w:tblInd w:w="959" w:type="dxa"/>
        <w:tblLook w:val="04A0"/>
      </w:tblPr>
      <w:tblGrid>
        <w:gridCol w:w="850"/>
        <w:gridCol w:w="7797"/>
      </w:tblGrid>
      <w:tr w:rsidR="00C32815" w:rsidRPr="004C2769" w:rsidTr="0093774A">
        <w:tc>
          <w:tcPr>
            <w:tcW w:w="850" w:type="dxa"/>
          </w:tcPr>
          <w:p w:rsidR="00C32815" w:rsidRPr="0093774A" w:rsidRDefault="00C32815" w:rsidP="00823204">
            <w:pPr>
              <w:pStyle w:val="NoSpacing"/>
              <w:jc w:val="both"/>
              <w:rPr>
                <w:rFonts w:cstheme="minorHAnsi"/>
                <w:b/>
              </w:rPr>
            </w:pPr>
            <w:r w:rsidRPr="0093774A">
              <w:rPr>
                <w:rFonts w:cstheme="minorHAnsi"/>
                <w:b/>
              </w:rPr>
              <w:t>Sl.No</w:t>
            </w:r>
          </w:p>
        </w:tc>
        <w:tc>
          <w:tcPr>
            <w:tcW w:w="7797" w:type="dxa"/>
          </w:tcPr>
          <w:p w:rsidR="00C32815" w:rsidRPr="0093774A" w:rsidRDefault="00C32815" w:rsidP="00C32815">
            <w:pPr>
              <w:pStyle w:val="NoSpacing"/>
              <w:jc w:val="center"/>
              <w:rPr>
                <w:rFonts w:cstheme="minorHAnsi"/>
                <w:b/>
              </w:rPr>
            </w:pPr>
            <w:r w:rsidRPr="0093774A">
              <w:rPr>
                <w:rFonts w:cstheme="minorHAnsi"/>
                <w:b/>
              </w:rPr>
              <w:t>Name of the Regulations</w:t>
            </w:r>
          </w:p>
        </w:tc>
      </w:tr>
      <w:tr w:rsidR="00C32815" w:rsidRPr="004C2769" w:rsidTr="0093774A">
        <w:tc>
          <w:tcPr>
            <w:tcW w:w="850" w:type="dxa"/>
          </w:tcPr>
          <w:p w:rsidR="00C32815" w:rsidRPr="0093774A" w:rsidRDefault="002D1DB3" w:rsidP="002D1DB3">
            <w:pPr>
              <w:pStyle w:val="NoSpacing"/>
              <w:jc w:val="center"/>
              <w:rPr>
                <w:rFonts w:cstheme="minorHAnsi"/>
              </w:rPr>
            </w:pPr>
            <w:r w:rsidRPr="0093774A">
              <w:rPr>
                <w:rFonts w:cstheme="minorHAnsi"/>
              </w:rPr>
              <w:t>1.</w:t>
            </w:r>
          </w:p>
        </w:tc>
        <w:tc>
          <w:tcPr>
            <w:tcW w:w="7797" w:type="dxa"/>
          </w:tcPr>
          <w:p w:rsidR="00C32815" w:rsidRPr="0093774A" w:rsidRDefault="00BC6730" w:rsidP="00804BBB">
            <w:pPr>
              <w:pStyle w:val="NoSpacing"/>
              <w:jc w:val="both"/>
              <w:rPr>
                <w:rFonts w:cstheme="minorHAnsi"/>
              </w:rPr>
            </w:pPr>
            <w:r w:rsidRPr="0093774A">
              <w:rPr>
                <w:rFonts w:cstheme="minorHAnsi"/>
              </w:rPr>
              <w:t>Sikkim State Electricity Regulatory Commission (Conduct of Business) Regulations, 2012.</w:t>
            </w:r>
          </w:p>
        </w:tc>
      </w:tr>
      <w:tr w:rsidR="00BC6730" w:rsidRPr="004C2769" w:rsidTr="0093774A">
        <w:tc>
          <w:tcPr>
            <w:tcW w:w="850" w:type="dxa"/>
          </w:tcPr>
          <w:p w:rsidR="00BC6730" w:rsidRPr="0093774A" w:rsidRDefault="00BC6730" w:rsidP="002D1DB3">
            <w:pPr>
              <w:pStyle w:val="NoSpacing"/>
              <w:jc w:val="center"/>
              <w:rPr>
                <w:rFonts w:cstheme="minorHAnsi"/>
              </w:rPr>
            </w:pPr>
            <w:r w:rsidRPr="0093774A">
              <w:rPr>
                <w:rFonts w:cstheme="minorHAnsi"/>
              </w:rPr>
              <w:t>2.</w:t>
            </w:r>
          </w:p>
        </w:tc>
        <w:tc>
          <w:tcPr>
            <w:tcW w:w="7797" w:type="dxa"/>
          </w:tcPr>
          <w:p w:rsidR="00BC6730" w:rsidRPr="0093774A" w:rsidRDefault="003D0910" w:rsidP="00804BBB">
            <w:pPr>
              <w:pStyle w:val="NoSpacing"/>
              <w:jc w:val="both"/>
              <w:rPr>
                <w:rFonts w:cstheme="minorHAnsi"/>
              </w:rPr>
            </w:pPr>
            <w:r w:rsidRPr="0093774A">
              <w:rPr>
                <w:rFonts w:cstheme="minorHAnsi"/>
              </w:rPr>
              <w:t>Sikkim State Electricity Regulatory Commission (Terms and Conditions for Determination of Tariff) Regulations, 2012.</w:t>
            </w:r>
          </w:p>
        </w:tc>
      </w:tr>
      <w:tr w:rsidR="003D0910" w:rsidRPr="004C2769" w:rsidTr="0093774A">
        <w:tc>
          <w:tcPr>
            <w:tcW w:w="850" w:type="dxa"/>
          </w:tcPr>
          <w:p w:rsidR="003D0910" w:rsidRPr="0093774A" w:rsidRDefault="00D93E57" w:rsidP="002D1DB3">
            <w:pPr>
              <w:pStyle w:val="NoSpacing"/>
              <w:jc w:val="center"/>
              <w:rPr>
                <w:rFonts w:cstheme="minorHAnsi"/>
              </w:rPr>
            </w:pPr>
            <w:r w:rsidRPr="0093774A">
              <w:rPr>
                <w:rFonts w:cstheme="minorHAnsi"/>
              </w:rPr>
              <w:t>3.</w:t>
            </w:r>
          </w:p>
        </w:tc>
        <w:tc>
          <w:tcPr>
            <w:tcW w:w="7797" w:type="dxa"/>
          </w:tcPr>
          <w:p w:rsidR="003D0910" w:rsidRPr="0093774A" w:rsidRDefault="00D93E57" w:rsidP="00804BBB">
            <w:pPr>
              <w:pStyle w:val="NoSpacing"/>
              <w:jc w:val="both"/>
              <w:rPr>
                <w:rFonts w:cstheme="minorHAnsi"/>
              </w:rPr>
            </w:pPr>
            <w:r w:rsidRPr="0093774A">
              <w:rPr>
                <w:rFonts w:cstheme="minorHAnsi"/>
              </w:rPr>
              <w:t>Sikkim State Electricity Regulatory Commission (Standards of Performance for the Distribution and Transmission Licensee) Regulations, 2012.</w:t>
            </w:r>
          </w:p>
        </w:tc>
      </w:tr>
      <w:tr w:rsidR="00D93E57" w:rsidRPr="004C2769" w:rsidTr="0093774A">
        <w:tc>
          <w:tcPr>
            <w:tcW w:w="850" w:type="dxa"/>
          </w:tcPr>
          <w:p w:rsidR="00D93E57" w:rsidRPr="0093774A" w:rsidRDefault="00240915" w:rsidP="002D1DB3">
            <w:pPr>
              <w:pStyle w:val="NoSpacing"/>
              <w:jc w:val="center"/>
              <w:rPr>
                <w:rFonts w:cstheme="minorHAnsi"/>
              </w:rPr>
            </w:pPr>
            <w:r w:rsidRPr="0093774A">
              <w:rPr>
                <w:rFonts w:cstheme="minorHAnsi"/>
              </w:rPr>
              <w:t>4.</w:t>
            </w:r>
          </w:p>
        </w:tc>
        <w:tc>
          <w:tcPr>
            <w:tcW w:w="7797" w:type="dxa"/>
          </w:tcPr>
          <w:p w:rsidR="00D93E57" w:rsidRPr="0093774A" w:rsidRDefault="006953DC" w:rsidP="00804BBB">
            <w:pPr>
              <w:pStyle w:val="NoSpacing"/>
              <w:jc w:val="both"/>
              <w:rPr>
                <w:rFonts w:cstheme="minorHAnsi"/>
              </w:rPr>
            </w:pPr>
            <w:r w:rsidRPr="0093774A">
              <w:rPr>
                <w:rFonts w:cstheme="minorHAnsi"/>
              </w:rPr>
              <w:t>Sikkim State Electricity Regulatory Commission (Electricity Supply Code) Regulations, 2012.</w:t>
            </w:r>
          </w:p>
        </w:tc>
      </w:tr>
      <w:tr w:rsidR="006953DC" w:rsidRPr="004C2769" w:rsidTr="0093774A">
        <w:tc>
          <w:tcPr>
            <w:tcW w:w="850" w:type="dxa"/>
          </w:tcPr>
          <w:p w:rsidR="006953DC" w:rsidRPr="0093774A" w:rsidRDefault="006953DC" w:rsidP="002D1DB3">
            <w:pPr>
              <w:pStyle w:val="NoSpacing"/>
              <w:jc w:val="center"/>
              <w:rPr>
                <w:rFonts w:cstheme="minorHAnsi"/>
              </w:rPr>
            </w:pPr>
            <w:r w:rsidRPr="0093774A">
              <w:rPr>
                <w:rFonts w:cstheme="minorHAnsi"/>
              </w:rPr>
              <w:t>5.</w:t>
            </w:r>
          </w:p>
        </w:tc>
        <w:tc>
          <w:tcPr>
            <w:tcW w:w="7797" w:type="dxa"/>
          </w:tcPr>
          <w:p w:rsidR="006953DC" w:rsidRPr="0093774A" w:rsidRDefault="006953DC" w:rsidP="00804BBB">
            <w:pPr>
              <w:pStyle w:val="NoSpacing"/>
              <w:jc w:val="both"/>
              <w:rPr>
                <w:rFonts w:cstheme="minorHAnsi"/>
              </w:rPr>
            </w:pPr>
            <w:r w:rsidRPr="0093774A">
              <w:rPr>
                <w:rFonts w:cstheme="minorHAnsi"/>
              </w:rPr>
              <w:t>Sikkim State Electricity Regulatory Commission (Redressal of Grievances of Consumers and Establishment of Forum of Electricity Ombudsman ) Regulations, 2012.</w:t>
            </w:r>
          </w:p>
        </w:tc>
      </w:tr>
      <w:tr w:rsidR="006953DC" w:rsidRPr="004C2769" w:rsidTr="0093774A">
        <w:tc>
          <w:tcPr>
            <w:tcW w:w="850" w:type="dxa"/>
          </w:tcPr>
          <w:p w:rsidR="006953DC" w:rsidRPr="0093774A" w:rsidRDefault="006953DC" w:rsidP="002D1DB3">
            <w:pPr>
              <w:pStyle w:val="NoSpacing"/>
              <w:jc w:val="center"/>
              <w:rPr>
                <w:rFonts w:cstheme="minorHAnsi"/>
              </w:rPr>
            </w:pPr>
            <w:r w:rsidRPr="0093774A">
              <w:rPr>
                <w:rFonts w:cstheme="minorHAnsi"/>
              </w:rPr>
              <w:t>6.</w:t>
            </w:r>
          </w:p>
        </w:tc>
        <w:tc>
          <w:tcPr>
            <w:tcW w:w="7797" w:type="dxa"/>
          </w:tcPr>
          <w:p w:rsidR="006953DC" w:rsidRPr="0093774A" w:rsidRDefault="00DF2518" w:rsidP="00804BBB">
            <w:pPr>
              <w:pStyle w:val="NoSpacing"/>
              <w:jc w:val="both"/>
              <w:rPr>
                <w:rFonts w:cstheme="minorHAnsi"/>
              </w:rPr>
            </w:pPr>
            <w:r w:rsidRPr="0093774A">
              <w:rPr>
                <w:rFonts w:cstheme="minorHAnsi"/>
              </w:rPr>
              <w:t>Sikkim State Electricity Regulatory Commission (Terms and Conditions of Intra State Open Access) Regulations, 2012.</w:t>
            </w:r>
          </w:p>
        </w:tc>
      </w:tr>
      <w:tr w:rsidR="00DF2518" w:rsidRPr="004C2769" w:rsidTr="0093774A">
        <w:tc>
          <w:tcPr>
            <w:tcW w:w="850" w:type="dxa"/>
          </w:tcPr>
          <w:p w:rsidR="00DF2518" w:rsidRPr="0093774A" w:rsidRDefault="00132F47" w:rsidP="002D1DB3">
            <w:pPr>
              <w:pStyle w:val="NoSpacing"/>
              <w:jc w:val="center"/>
              <w:rPr>
                <w:rFonts w:cstheme="minorHAnsi"/>
              </w:rPr>
            </w:pPr>
            <w:r w:rsidRPr="0093774A">
              <w:rPr>
                <w:rFonts w:cstheme="minorHAnsi"/>
              </w:rPr>
              <w:t>7.</w:t>
            </w:r>
          </w:p>
        </w:tc>
        <w:tc>
          <w:tcPr>
            <w:tcW w:w="7797" w:type="dxa"/>
          </w:tcPr>
          <w:p w:rsidR="00DF2518" w:rsidRPr="0093774A" w:rsidRDefault="00132F47" w:rsidP="00804BBB">
            <w:pPr>
              <w:pStyle w:val="NoSpacing"/>
              <w:jc w:val="both"/>
              <w:rPr>
                <w:rFonts w:cstheme="minorHAnsi"/>
              </w:rPr>
            </w:pPr>
            <w:r w:rsidRPr="0093774A">
              <w:rPr>
                <w:rFonts w:cstheme="minorHAnsi"/>
              </w:rPr>
              <w:t>Sikkim State Electricity Regulatory Commission (Terms and Conditions for Determination of Tariff for Generation from Renewable energy Sources) Regulations, 2012.</w:t>
            </w:r>
          </w:p>
        </w:tc>
      </w:tr>
      <w:tr w:rsidR="00132F47" w:rsidRPr="004C2769" w:rsidTr="0093774A">
        <w:tc>
          <w:tcPr>
            <w:tcW w:w="850" w:type="dxa"/>
          </w:tcPr>
          <w:p w:rsidR="00132F47" w:rsidRPr="0093774A" w:rsidRDefault="002C6A81" w:rsidP="002D1DB3">
            <w:pPr>
              <w:pStyle w:val="NoSpacing"/>
              <w:jc w:val="center"/>
              <w:rPr>
                <w:rFonts w:cstheme="minorHAnsi"/>
              </w:rPr>
            </w:pPr>
            <w:r w:rsidRPr="0093774A">
              <w:rPr>
                <w:rFonts w:cstheme="minorHAnsi"/>
              </w:rPr>
              <w:t>8.</w:t>
            </w:r>
          </w:p>
        </w:tc>
        <w:tc>
          <w:tcPr>
            <w:tcW w:w="7797" w:type="dxa"/>
          </w:tcPr>
          <w:p w:rsidR="00132F47" w:rsidRPr="0093774A" w:rsidRDefault="003E4712" w:rsidP="00804BBB">
            <w:pPr>
              <w:pStyle w:val="NoSpacing"/>
              <w:jc w:val="both"/>
              <w:rPr>
                <w:rFonts w:cstheme="minorHAnsi"/>
              </w:rPr>
            </w:pPr>
            <w:r w:rsidRPr="0093774A">
              <w:rPr>
                <w:rFonts w:cstheme="minorHAnsi"/>
              </w:rPr>
              <w:t>Sikkim State Electricity Regulatory Commission (State Grid Code) Regulations, 2013.</w:t>
            </w:r>
          </w:p>
        </w:tc>
      </w:tr>
      <w:tr w:rsidR="003E4712" w:rsidRPr="004C2769" w:rsidTr="0093774A">
        <w:tc>
          <w:tcPr>
            <w:tcW w:w="850" w:type="dxa"/>
          </w:tcPr>
          <w:p w:rsidR="003E4712" w:rsidRPr="0093774A" w:rsidRDefault="00AE5137" w:rsidP="002D1DB3">
            <w:pPr>
              <w:pStyle w:val="NoSpacing"/>
              <w:jc w:val="center"/>
              <w:rPr>
                <w:rFonts w:cstheme="minorHAnsi"/>
              </w:rPr>
            </w:pPr>
            <w:r w:rsidRPr="0093774A">
              <w:rPr>
                <w:rFonts w:cstheme="minorHAnsi"/>
              </w:rPr>
              <w:t>9.</w:t>
            </w:r>
          </w:p>
        </w:tc>
        <w:tc>
          <w:tcPr>
            <w:tcW w:w="7797" w:type="dxa"/>
          </w:tcPr>
          <w:p w:rsidR="003E4712" w:rsidRPr="0093774A" w:rsidRDefault="00AE5137" w:rsidP="00804BBB">
            <w:pPr>
              <w:pStyle w:val="NoSpacing"/>
              <w:jc w:val="both"/>
              <w:rPr>
                <w:rFonts w:cstheme="minorHAnsi"/>
              </w:rPr>
            </w:pPr>
            <w:r w:rsidRPr="0093774A">
              <w:rPr>
                <w:rFonts w:cstheme="minorHAnsi"/>
              </w:rPr>
              <w:t xml:space="preserve">Sikkim State Electricity Regulatory Commission (Constitution of State </w:t>
            </w:r>
            <w:r w:rsidR="00962CB5" w:rsidRPr="0093774A">
              <w:rPr>
                <w:rFonts w:cstheme="minorHAnsi"/>
              </w:rPr>
              <w:t>Advisory)</w:t>
            </w:r>
            <w:r w:rsidRPr="0093774A">
              <w:rPr>
                <w:rFonts w:cstheme="minorHAnsi"/>
              </w:rPr>
              <w:t xml:space="preserve"> Regulations, 2012.</w:t>
            </w:r>
          </w:p>
        </w:tc>
      </w:tr>
      <w:tr w:rsidR="000814AE" w:rsidRPr="004C2769" w:rsidTr="0093774A">
        <w:tc>
          <w:tcPr>
            <w:tcW w:w="850" w:type="dxa"/>
          </w:tcPr>
          <w:p w:rsidR="000814AE" w:rsidRPr="0093774A" w:rsidRDefault="000814AE" w:rsidP="002D1DB3">
            <w:pPr>
              <w:pStyle w:val="NoSpacing"/>
              <w:jc w:val="center"/>
              <w:rPr>
                <w:rFonts w:cstheme="minorHAnsi"/>
              </w:rPr>
            </w:pPr>
            <w:r w:rsidRPr="0093774A">
              <w:rPr>
                <w:rFonts w:cstheme="minorHAnsi"/>
              </w:rPr>
              <w:t>10.</w:t>
            </w:r>
          </w:p>
        </w:tc>
        <w:tc>
          <w:tcPr>
            <w:tcW w:w="7797" w:type="dxa"/>
          </w:tcPr>
          <w:p w:rsidR="000814AE" w:rsidRPr="0093774A" w:rsidRDefault="000814AE" w:rsidP="008427DD">
            <w:pPr>
              <w:jc w:val="both"/>
              <w:rPr>
                <w:rFonts w:cstheme="minorHAnsi"/>
              </w:rPr>
            </w:pPr>
            <w:r w:rsidRPr="0093774A">
              <w:rPr>
                <w:rFonts w:cstheme="minorHAnsi"/>
              </w:rPr>
              <w:t>Sikkim State Electricity Regulation Commission (Renewable Energy Purchase Obligations and Its Compliance) Regulations, 2012.</w:t>
            </w:r>
          </w:p>
        </w:tc>
      </w:tr>
      <w:tr w:rsidR="000814AE" w:rsidRPr="004C2769" w:rsidTr="0093774A">
        <w:tc>
          <w:tcPr>
            <w:tcW w:w="850" w:type="dxa"/>
          </w:tcPr>
          <w:p w:rsidR="000814AE" w:rsidRPr="0093774A" w:rsidRDefault="000814AE" w:rsidP="002D1DB3">
            <w:pPr>
              <w:pStyle w:val="NoSpacing"/>
              <w:jc w:val="center"/>
              <w:rPr>
                <w:rFonts w:cstheme="minorHAnsi"/>
              </w:rPr>
            </w:pPr>
            <w:r w:rsidRPr="0093774A">
              <w:rPr>
                <w:rFonts w:cstheme="minorHAnsi"/>
              </w:rPr>
              <w:t>11.</w:t>
            </w:r>
          </w:p>
        </w:tc>
        <w:tc>
          <w:tcPr>
            <w:tcW w:w="7797" w:type="dxa"/>
          </w:tcPr>
          <w:p w:rsidR="000814AE" w:rsidRPr="0093774A" w:rsidRDefault="000814AE" w:rsidP="008427DD">
            <w:pPr>
              <w:pStyle w:val="ListParagraph"/>
              <w:ind w:left="0"/>
              <w:jc w:val="both"/>
              <w:rPr>
                <w:rFonts w:cstheme="minorHAnsi"/>
              </w:rPr>
            </w:pPr>
            <w:r w:rsidRPr="0093774A">
              <w:rPr>
                <w:rFonts w:cstheme="minorHAnsi"/>
              </w:rPr>
              <w:t>Sikkim State Electricity Regulatory Commission (Constitution of State Advisory Committee and its Functions) Regulations, 2013</w:t>
            </w:r>
          </w:p>
        </w:tc>
      </w:tr>
      <w:tr w:rsidR="000814AE" w:rsidRPr="004C2769" w:rsidTr="0093774A">
        <w:tc>
          <w:tcPr>
            <w:tcW w:w="850" w:type="dxa"/>
          </w:tcPr>
          <w:p w:rsidR="000814AE" w:rsidRPr="0093774A" w:rsidRDefault="000814AE" w:rsidP="002D1DB3">
            <w:pPr>
              <w:pStyle w:val="NoSpacing"/>
              <w:jc w:val="center"/>
              <w:rPr>
                <w:rFonts w:cstheme="minorHAnsi"/>
              </w:rPr>
            </w:pPr>
            <w:r w:rsidRPr="0093774A">
              <w:rPr>
                <w:rFonts w:cstheme="minorHAnsi"/>
              </w:rPr>
              <w:t>12.</w:t>
            </w:r>
          </w:p>
        </w:tc>
        <w:tc>
          <w:tcPr>
            <w:tcW w:w="7797" w:type="dxa"/>
          </w:tcPr>
          <w:p w:rsidR="000814AE" w:rsidRPr="0093774A" w:rsidRDefault="000814AE" w:rsidP="008427DD">
            <w:pPr>
              <w:jc w:val="both"/>
              <w:rPr>
                <w:rFonts w:cstheme="minorHAnsi"/>
              </w:rPr>
            </w:pPr>
            <w:r w:rsidRPr="0093774A">
              <w:rPr>
                <w:rFonts w:cstheme="minorHAnsi"/>
              </w:rPr>
              <w:t>Sikkim State Electricity Regulation Commission (</w:t>
            </w:r>
            <w:r w:rsidRPr="0093774A">
              <w:rPr>
                <w:rFonts w:eastAsia="Calibri" w:cstheme="minorHAnsi"/>
              </w:rPr>
              <w:t>Terms and Conditions for Determination of Tariff for Generation, Transmission, Wheeling and Distribution &amp; Retail Supply under Multi Year Tariff Framework) Regulations, 2013</w:t>
            </w:r>
          </w:p>
        </w:tc>
      </w:tr>
    </w:tbl>
    <w:p w:rsidR="00BD7339" w:rsidRPr="00BD7339" w:rsidRDefault="00BD7339" w:rsidP="00BD7339">
      <w:pPr>
        <w:pStyle w:val="NoSpacing"/>
        <w:ind w:left="720"/>
        <w:jc w:val="center"/>
        <w:rPr>
          <w:rFonts w:cstheme="minorHAnsi"/>
          <w:b/>
          <w:sz w:val="20"/>
          <w:szCs w:val="20"/>
        </w:rPr>
      </w:pPr>
    </w:p>
    <w:p w:rsidR="00BD7339" w:rsidRDefault="00BD7339" w:rsidP="00823204">
      <w:pPr>
        <w:pStyle w:val="NoSpacing"/>
        <w:ind w:left="720"/>
        <w:jc w:val="both"/>
        <w:rPr>
          <w:rFonts w:cstheme="minorHAnsi"/>
          <w:b/>
          <w:sz w:val="24"/>
          <w:szCs w:val="24"/>
        </w:rPr>
      </w:pPr>
    </w:p>
    <w:p w:rsidR="00B26E84" w:rsidRPr="004C2769" w:rsidRDefault="004538F8" w:rsidP="00823204">
      <w:pPr>
        <w:pStyle w:val="NoSpacing"/>
        <w:ind w:left="720"/>
        <w:jc w:val="both"/>
        <w:rPr>
          <w:rFonts w:cstheme="minorHAnsi"/>
          <w:b/>
          <w:color w:val="FFFF00"/>
          <w:sz w:val="24"/>
          <w:szCs w:val="24"/>
        </w:rPr>
      </w:pPr>
      <w:r w:rsidRPr="003E1206">
        <w:rPr>
          <w:rFonts w:cstheme="minorHAnsi"/>
          <w:b/>
          <w:sz w:val="24"/>
          <w:szCs w:val="24"/>
        </w:rPr>
        <w:t>2.</w:t>
      </w:r>
      <w:r w:rsidR="003E1206">
        <w:rPr>
          <w:rFonts w:cstheme="minorHAnsi"/>
          <w:b/>
          <w:sz w:val="24"/>
          <w:szCs w:val="24"/>
        </w:rPr>
        <w:t>3</w:t>
      </w:r>
      <w:r w:rsidRPr="003E1206">
        <w:rPr>
          <w:rFonts w:cstheme="minorHAnsi"/>
          <w:b/>
          <w:color w:val="FFFF00"/>
          <w:sz w:val="24"/>
          <w:szCs w:val="24"/>
        </w:rPr>
        <w:t xml:space="preserve"> </w:t>
      </w:r>
      <w:r w:rsidR="00266DA4" w:rsidRPr="00D86288">
        <w:rPr>
          <w:rFonts w:cstheme="minorHAnsi"/>
          <w:b/>
          <w:color w:val="FFFF00"/>
          <w:sz w:val="24"/>
          <w:szCs w:val="24"/>
          <w:highlight w:val="darkGreen"/>
        </w:rPr>
        <w:t>DETERMINATION OF ARR AND TARIFF FOR F.Y. 2014-15</w:t>
      </w:r>
    </w:p>
    <w:p w:rsidR="00266DA4" w:rsidRPr="004C2769" w:rsidRDefault="00266DA4" w:rsidP="00823204">
      <w:pPr>
        <w:pStyle w:val="NoSpacing"/>
        <w:ind w:left="720"/>
        <w:jc w:val="both"/>
        <w:rPr>
          <w:rFonts w:cstheme="minorHAnsi"/>
          <w:b/>
          <w:sz w:val="24"/>
          <w:szCs w:val="24"/>
        </w:rPr>
      </w:pPr>
    </w:p>
    <w:p w:rsidR="00B80ED9" w:rsidRPr="004C2769" w:rsidRDefault="00B80ED9" w:rsidP="0093774A">
      <w:pPr>
        <w:pStyle w:val="NoSpacing"/>
        <w:ind w:left="720" w:firstLine="720"/>
        <w:jc w:val="both"/>
        <w:rPr>
          <w:rFonts w:cstheme="minorHAnsi"/>
          <w:sz w:val="24"/>
          <w:szCs w:val="24"/>
        </w:rPr>
      </w:pPr>
      <w:r w:rsidRPr="004C2769">
        <w:rPr>
          <w:rFonts w:cstheme="minorHAnsi"/>
          <w:sz w:val="24"/>
          <w:szCs w:val="24"/>
        </w:rPr>
        <w:t>The Energy &amp; Power Department , Government of Sikkim, the deemed licensee for distribution of power in Sikkim filed its petition for Annual revenue Requirement and Tariff before the Commission for the F.Y. 2014-15.</w:t>
      </w:r>
      <w:r w:rsidR="006D1145" w:rsidRPr="004C2769">
        <w:rPr>
          <w:rFonts w:cstheme="minorHAnsi"/>
          <w:sz w:val="24"/>
          <w:szCs w:val="24"/>
        </w:rPr>
        <w:t xml:space="preserve"> The petition was </w:t>
      </w:r>
      <w:r w:rsidR="00B34A3D" w:rsidRPr="004C2769">
        <w:rPr>
          <w:rFonts w:cstheme="minorHAnsi"/>
          <w:sz w:val="24"/>
          <w:szCs w:val="24"/>
        </w:rPr>
        <w:t xml:space="preserve">filed on 29.11.2013 and the petition was </w:t>
      </w:r>
      <w:r w:rsidR="006D1145" w:rsidRPr="004C2769">
        <w:rPr>
          <w:rFonts w:cstheme="minorHAnsi"/>
          <w:sz w:val="24"/>
          <w:szCs w:val="24"/>
        </w:rPr>
        <w:t xml:space="preserve">accepted and registered </w:t>
      </w:r>
      <w:r w:rsidR="00B34A3D" w:rsidRPr="004C2769">
        <w:rPr>
          <w:rFonts w:cstheme="minorHAnsi"/>
          <w:sz w:val="24"/>
          <w:szCs w:val="24"/>
        </w:rPr>
        <w:t xml:space="preserve">as Case No. TR-1/2014-15 on 10.12.2014. </w:t>
      </w:r>
    </w:p>
    <w:p w:rsidR="00B34A3D" w:rsidRPr="004C2769" w:rsidRDefault="00B34A3D" w:rsidP="00823204">
      <w:pPr>
        <w:pStyle w:val="NoSpacing"/>
        <w:ind w:left="720"/>
        <w:jc w:val="both"/>
        <w:rPr>
          <w:rFonts w:cstheme="minorHAnsi"/>
          <w:sz w:val="24"/>
          <w:szCs w:val="24"/>
        </w:rPr>
      </w:pPr>
    </w:p>
    <w:p w:rsidR="00BD3712" w:rsidRDefault="00BD3712" w:rsidP="0093774A">
      <w:pPr>
        <w:pStyle w:val="NoSpacing"/>
        <w:ind w:left="720" w:firstLine="720"/>
        <w:jc w:val="both"/>
        <w:rPr>
          <w:rFonts w:cstheme="minorHAnsi"/>
          <w:sz w:val="24"/>
          <w:szCs w:val="24"/>
        </w:rPr>
      </w:pPr>
      <w:r w:rsidRPr="004C2769">
        <w:rPr>
          <w:rFonts w:cstheme="minorHAnsi"/>
          <w:sz w:val="24"/>
          <w:szCs w:val="24"/>
        </w:rPr>
        <w:t xml:space="preserve">The Commission had a series of communications and interactions with the Energy &amp; Power Department. Several clarifications and additional information/data were sought from the Department on the ARR/Tariff petition. </w:t>
      </w:r>
    </w:p>
    <w:p w:rsidR="00BD3712" w:rsidRDefault="00BD3712" w:rsidP="00BD7339">
      <w:pPr>
        <w:pStyle w:val="NoSpacing"/>
        <w:jc w:val="both"/>
        <w:rPr>
          <w:rFonts w:cstheme="minorHAnsi"/>
          <w:sz w:val="24"/>
          <w:szCs w:val="24"/>
        </w:rPr>
      </w:pPr>
    </w:p>
    <w:p w:rsidR="0093774A" w:rsidRPr="004C2769" w:rsidRDefault="0093774A" w:rsidP="00823204">
      <w:pPr>
        <w:pStyle w:val="NoSpacing"/>
        <w:ind w:left="720"/>
        <w:jc w:val="both"/>
        <w:rPr>
          <w:rFonts w:cstheme="minorHAnsi"/>
          <w:sz w:val="24"/>
          <w:szCs w:val="24"/>
        </w:rPr>
      </w:pPr>
    </w:p>
    <w:p w:rsidR="00BD3712" w:rsidRPr="004C2769" w:rsidRDefault="004538F8" w:rsidP="00823204">
      <w:pPr>
        <w:pStyle w:val="NoSpacing"/>
        <w:ind w:left="720"/>
        <w:jc w:val="both"/>
        <w:rPr>
          <w:rFonts w:cstheme="minorHAnsi"/>
          <w:b/>
          <w:color w:val="FFFF00"/>
          <w:sz w:val="24"/>
          <w:szCs w:val="24"/>
        </w:rPr>
      </w:pPr>
      <w:r w:rsidRPr="003E1206">
        <w:rPr>
          <w:rFonts w:cstheme="minorHAnsi"/>
          <w:b/>
          <w:sz w:val="24"/>
          <w:szCs w:val="24"/>
        </w:rPr>
        <w:t>2.</w:t>
      </w:r>
      <w:r w:rsidR="003E1206">
        <w:rPr>
          <w:rFonts w:cstheme="minorHAnsi"/>
          <w:b/>
          <w:sz w:val="24"/>
          <w:szCs w:val="24"/>
        </w:rPr>
        <w:t>4</w:t>
      </w:r>
      <w:r w:rsidRPr="003E1206">
        <w:rPr>
          <w:rFonts w:cstheme="minorHAnsi"/>
          <w:b/>
          <w:color w:val="FFFF00"/>
          <w:sz w:val="24"/>
          <w:szCs w:val="24"/>
        </w:rPr>
        <w:t xml:space="preserve"> </w:t>
      </w:r>
      <w:r w:rsidR="00BD3712" w:rsidRPr="00D86288">
        <w:rPr>
          <w:rFonts w:cstheme="minorHAnsi"/>
          <w:b/>
          <w:color w:val="FFFF00"/>
          <w:sz w:val="24"/>
          <w:szCs w:val="24"/>
          <w:highlight w:val="darkGreen"/>
        </w:rPr>
        <w:t xml:space="preserve">PUBLIC HEARING </w:t>
      </w:r>
    </w:p>
    <w:p w:rsidR="000461B4" w:rsidRPr="004C2769" w:rsidRDefault="000461B4" w:rsidP="00823204">
      <w:pPr>
        <w:pStyle w:val="NoSpacing"/>
        <w:ind w:left="720"/>
        <w:jc w:val="both"/>
        <w:rPr>
          <w:rFonts w:cstheme="minorHAnsi"/>
          <w:b/>
          <w:sz w:val="24"/>
          <w:szCs w:val="24"/>
        </w:rPr>
      </w:pPr>
    </w:p>
    <w:p w:rsidR="000461B4" w:rsidRPr="004C2769" w:rsidRDefault="000461B4" w:rsidP="0093774A">
      <w:pPr>
        <w:pStyle w:val="NoSpacing"/>
        <w:ind w:left="720" w:firstLine="720"/>
        <w:jc w:val="both"/>
        <w:rPr>
          <w:rFonts w:cstheme="minorHAnsi"/>
          <w:sz w:val="24"/>
          <w:szCs w:val="24"/>
        </w:rPr>
      </w:pPr>
      <w:r w:rsidRPr="004C2769">
        <w:rPr>
          <w:rFonts w:cstheme="minorHAnsi"/>
          <w:sz w:val="24"/>
          <w:szCs w:val="24"/>
        </w:rPr>
        <w:t>In view of the State/Parliamentary elections in progress in the State and model code of conduct issued by the State Election Commission, the Commission took appropriate action to obtain the formal clearance from the Office of the Chie Election Commission of India and Chief Electoral Office  prior to conduct of the Public Hearing for determining the ARR and Tariff for F.Y 2014-15.</w:t>
      </w:r>
    </w:p>
    <w:p w:rsidR="00BD3712" w:rsidRPr="004C2769" w:rsidRDefault="00BD3712" w:rsidP="00823204">
      <w:pPr>
        <w:pStyle w:val="NoSpacing"/>
        <w:ind w:left="720"/>
        <w:jc w:val="both"/>
        <w:rPr>
          <w:rFonts w:cstheme="minorHAnsi"/>
          <w:sz w:val="24"/>
          <w:szCs w:val="24"/>
        </w:rPr>
      </w:pPr>
    </w:p>
    <w:p w:rsidR="00BD3712" w:rsidRPr="004C2769" w:rsidRDefault="004A4DA3" w:rsidP="0093774A">
      <w:pPr>
        <w:pStyle w:val="NoSpacing"/>
        <w:ind w:left="720" w:firstLine="720"/>
        <w:jc w:val="both"/>
        <w:rPr>
          <w:rFonts w:cstheme="minorHAnsi"/>
          <w:sz w:val="24"/>
          <w:szCs w:val="24"/>
        </w:rPr>
      </w:pPr>
      <w:r w:rsidRPr="004C2769">
        <w:rPr>
          <w:rFonts w:cstheme="minorHAnsi"/>
          <w:sz w:val="24"/>
          <w:szCs w:val="24"/>
        </w:rPr>
        <w:t>On receipt of the formal clearance to conduct the Public Hearing , th</w:t>
      </w:r>
      <w:r w:rsidR="001F21A3" w:rsidRPr="004C2769">
        <w:rPr>
          <w:rFonts w:cstheme="minorHAnsi"/>
          <w:sz w:val="24"/>
          <w:szCs w:val="24"/>
        </w:rPr>
        <w:t>e Commission directed the Energy &amp; Power Department to publish a “Public Notice” giving the summary of the ARR and Tariff Proposal in accordance with Section 64 of the Electricity Act, 2003. The Department issued the Public Notice in two local newspapers and invited objections, suggestions and views of the consumers and stake holders. In response to the notice, only one written petition objecting the ARR/Tariff proposal was received. The Department filed its written response to the objection and requested the objector to take part in the Public Hearing to be conducted by the Commission.</w:t>
      </w:r>
    </w:p>
    <w:p w:rsidR="00BD3712" w:rsidRPr="004C2769" w:rsidRDefault="00BD3712" w:rsidP="00823204">
      <w:pPr>
        <w:pStyle w:val="NoSpacing"/>
        <w:ind w:left="720"/>
        <w:jc w:val="both"/>
        <w:rPr>
          <w:rFonts w:cstheme="minorHAnsi"/>
          <w:sz w:val="24"/>
          <w:szCs w:val="24"/>
        </w:rPr>
      </w:pPr>
    </w:p>
    <w:p w:rsidR="00BD3712" w:rsidRPr="004C2769" w:rsidRDefault="00BD3712" w:rsidP="0093774A">
      <w:pPr>
        <w:pStyle w:val="NoSpacing"/>
        <w:ind w:left="720" w:firstLine="720"/>
        <w:jc w:val="both"/>
        <w:rPr>
          <w:rFonts w:cstheme="minorHAnsi"/>
          <w:sz w:val="24"/>
          <w:szCs w:val="24"/>
        </w:rPr>
      </w:pPr>
      <w:r w:rsidRPr="004C2769">
        <w:rPr>
          <w:rFonts w:cstheme="minorHAnsi"/>
          <w:sz w:val="24"/>
          <w:szCs w:val="24"/>
        </w:rPr>
        <w:t xml:space="preserve">As prescribed the Electricity Act, 2003 and Section 20 (1)  of the Sikkim State Electricity Regulatory Commission (Terms and Conditions for Determination of Tariff) Regulations, 2012, the Commission held Public Hearings on 25.03.2014 and 26.03.2015 at Chintan, Bhawan, Gangtok, East Sikkim to solicit views, objections and suggestions of the consumers and stake holders. </w:t>
      </w:r>
      <w:r w:rsidR="000D0E86" w:rsidRPr="004C2769">
        <w:rPr>
          <w:rFonts w:cstheme="minorHAnsi"/>
          <w:sz w:val="24"/>
          <w:szCs w:val="24"/>
        </w:rPr>
        <w:t>In order to ensure wide publicity about the Public Hearing, the Commission published the notice for the Public Hearing  in four local newspapers intimating the general public,consumers and stake holders to participate in the Public Hearings.</w:t>
      </w:r>
    </w:p>
    <w:p w:rsidR="000D0E86" w:rsidRPr="004C2769" w:rsidRDefault="000D0E86" w:rsidP="00823204">
      <w:pPr>
        <w:pStyle w:val="NoSpacing"/>
        <w:ind w:left="720"/>
        <w:jc w:val="both"/>
        <w:rPr>
          <w:rFonts w:cstheme="minorHAnsi"/>
          <w:sz w:val="24"/>
          <w:szCs w:val="24"/>
        </w:rPr>
      </w:pPr>
    </w:p>
    <w:p w:rsidR="000D0E86" w:rsidRDefault="00D65F8F" w:rsidP="0093774A">
      <w:pPr>
        <w:pStyle w:val="NoSpacing"/>
        <w:ind w:left="720" w:firstLine="720"/>
        <w:jc w:val="both"/>
        <w:rPr>
          <w:rFonts w:cstheme="minorHAnsi"/>
          <w:sz w:val="24"/>
          <w:szCs w:val="24"/>
        </w:rPr>
      </w:pPr>
      <w:r w:rsidRPr="004C2769">
        <w:rPr>
          <w:rFonts w:cstheme="minorHAnsi"/>
          <w:sz w:val="24"/>
          <w:szCs w:val="24"/>
        </w:rPr>
        <w:t xml:space="preserve">The </w:t>
      </w:r>
      <w:r w:rsidR="00CB0CEE" w:rsidRPr="004C2769">
        <w:rPr>
          <w:rFonts w:cstheme="minorHAnsi"/>
          <w:sz w:val="24"/>
          <w:szCs w:val="24"/>
        </w:rPr>
        <w:t xml:space="preserve">representatives of the Energy &amp; Power Department responded to the various issues raised by the objectors/public and </w:t>
      </w:r>
      <w:r w:rsidR="006A334C" w:rsidRPr="004C2769">
        <w:rPr>
          <w:rFonts w:cstheme="minorHAnsi"/>
          <w:sz w:val="24"/>
          <w:szCs w:val="24"/>
        </w:rPr>
        <w:t>clarifying the doubts of the objectors. The Commission successfully conducted the Public Hearing and the views and objections raised by the public/stake holders as well as the response given by the Department in the Hearing were given a patient hearing.</w:t>
      </w:r>
    </w:p>
    <w:p w:rsidR="00BD7339" w:rsidRDefault="00BD7339" w:rsidP="00BD7339">
      <w:pPr>
        <w:pStyle w:val="NoSpacing"/>
        <w:jc w:val="center"/>
        <w:rPr>
          <w:rFonts w:cstheme="minorHAnsi"/>
          <w:sz w:val="24"/>
          <w:szCs w:val="24"/>
        </w:rPr>
      </w:pPr>
    </w:p>
    <w:p w:rsidR="00BD7339" w:rsidRPr="00BD7339" w:rsidRDefault="00BD7339" w:rsidP="00BD7339">
      <w:pPr>
        <w:pStyle w:val="NoSpacing"/>
        <w:jc w:val="center"/>
        <w:rPr>
          <w:rFonts w:cstheme="minorHAnsi"/>
          <w:sz w:val="20"/>
          <w:szCs w:val="20"/>
        </w:rPr>
      </w:pPr>
    </w:p>
    <w:p w:rsidR="00CF2B99" w:rsidRPr="004C2769" w:rsidRDefault="00CF2B99" w:rsidP="00951B81">
      <w:pPr>
        <w:pStyle w:val="NoSpacing"/>
        <w:jc w:val="both"/>
        <w:rPr>
          <w:rFonts w:cstheme="minorHAnsi"/>
          <w:sz w:val="24"/>
          <w:szCs w:val="24"/>
        </w:rPr>
      </w:pPr>
    </w:p>
    <w:p w:rsidR="00CF2B99" w:rsidRPr="004C2769" w:rsidRDefault="004538F8" w:rsidP="00CF2B99">
      <w:pPr>
        <w:pStyle w:val="NoSpacing"/>
        <w:ind w:left="720"/>
        <w:jc w:val="both"/>
        <w:rPr>
          <w:rFonts w:cstheme="minorHAnsi"/>
          <w:b/>
          <w:color w:val="FFFF00"/>
          <w:sz w:val="24"/>
          <w:szCs w:val="24"/>
        </w:rPr>
      </w:pPr>
      <w:r w:rsidRPr="003E1206">
        <w:rPr>
          <w:rFonts w:cstheme="minorHAnsi"/>
          <w:b/>
          <w:sz w:val="24"/>
          <w:szCs w:val="24"/>
        </w:rPr>
        <w:t>2.</w:t>
      </w:r>
      <w:r w:rsidR="003E1206">
        <w:rPr>
          <w:rFonts w:cstheme="minorHAnsi"/>
          <w:b/>
          <w:sz w:val="24"/>
          <w:szCs w:val="24"/>
        </w:rPr>
        <w:t>5</w:t>
      </w:r>
      <w:r w:rsidRPr="003E1206">
        <w:rPr>
          <w:rFonts w:cstheme="minorHAnsi"/>
          <w:b/>
          <w:color w:val="FFFF00"/>
          <w:sz w:val="24"/>
          <w:szCs w:val="24"/>
        </w:rPr>
        <w:t xml:space="preserve">  </w:t>
      </w:r>
      <w:r w:rsidR="00CF2B99" w:rsidRPr="00D86288">
        <w:rPr>
          <w:rFonts w:cstheme="minorHAnsi"/>
          <w:b/>
          <w:color w:val="FFFF00"/>
          <w:sz w:val="24"/>
          <w:szCs w:val="24"/>
          <w:highlight w:val="darkGreen"/>
        </w:rPr>
        <w:t>ORDER FOR F.Y</w:t>
      </w:r>
      <w:r w:rsidR="001214C2">
        <w:rPr>
          <w:rFonts w:cstheme="minorHAnsi"/>
          <w:b/>
          <w:color w:val="FFFF00"/>
          <w:sz w:val="24"/>
          <w:szCs w:val="24"/>
          <w:highlight w:val="darkGreen"/>
        </w:rPr>
        <w:t>.</w:t>
      </w:r>
      <w:r w:rsidR="00CF2B99" w:rsidRPr="00D86288">
        <w:rPr>
          <w:rFonts w:cstheme="minorHAnsi"/>
          <w:b/>
          <w:color w:val="FFFF00"/>
          <w:sz w:val="24"/>
          <w:szCs w:val="24"/>
          <w:highlight w:val="darkGreen"/>
        </w:rPr>
        <w:t xml:space="preserve"> 2014-15.</w:t>
      </w:r>
    </w:p>
    <w:p w:rsidR="00CF2B99" w:rsidRPr="004C2769" w:rsidRDefault="00CF2B99" w:rsidP="00CF2B99">
      <w:pPr>
        <w:pStyle w:val="NoSpacing"/>
        <w:ind w:left="720"/>
        <w:jc w:val="both"/>
        <w:rPr>
          <w:rFonts w:cstheme="minorHAnsi"/>
          <w:b/>
          <w:sz w:val="24"/>
          <w:szCs w:val="24"/>
        </w:rPr>
      </w:pPr>
    </w:p>
    <w:p w:rsidR="00CF2B99" w:rsidRPr="004C2769" w:rsidRDefault="00CF2B99" w:rsidP="00B759AE">
      <w:pPr>
        <w:widowControl w:val="0"/>
        <w:autoSpaceDE w:val="0"/>
        <w:autoSpaceDN w:val="0"/>
        <w:adjustRightInd w:val="0"/>
        <w:spacing w:line="360" w:lineRule="auto"/>
        <w:ind w:left="720" w:firstLine="720"/>
        <w:jc w:val="both"/>
        <w:rPr>
          <w:rFonts w:cstheme="minorHAnsi"/>
          <w:bCs/>
          <w:spacing w:val="-1"/>
        </w:rPr>
      </w:pPr>
      <w:r w:rsidRPr="004C2769">
        <w:rPr>
          <w:rFonts w:cstheme="minorHAnsi"/>
          <w:sz w:val="24"/>
          <w:szCs w:val="24"/>
        </w:rPr>
        <w:t>Although, the Commission had completed the entire process for determination of the ARR/Tariff including Public Hearing well within the stipulated time of 120 days from the date acceptance/registration of the Petition, the issue of Tariff Order was kept in abeyance as per the directives received from Chief Election Commission of India and State Election Commission in view of  the State/Parliamentary elections in progress in the State and model code of conduct issued by the State Election Commission. The Commission after conducting prudence check, scrutiny of data/information and clarifications furnished by the Energy &amp; Power Department issued the Tariff Order for F.Y 2014-15 on 15.04.2015 immediately after the model code of conduct was lifted by the State Election Commission.</w:t>
      </w:r>
      <w:r w:rsidR="002D1424" w:rsidRPr="004C2769">
        <w:rPr>
          <w:rFonts w:cstheme="minorHAnsi"/>
          <w:sz w:val="24"/>
          <w:szCs w:val="24"/>
        </w:rPr>
        <w:t xml:space="preserve"> The Schedule of Tariff for F.Y. 2014-15 is placed at </w:t>
      </w:r>
      <w:r w:rsidR="002D1424" w:rsidRPr="004C2769">
        <w:rPr>
          <w:rFonts w:cstheme="minorHAnsi"/>
          <w:b/>
          <w:sz w:val="24"/>
          <w:szCs w:val="24"/>
        </w:rPr>
        <w:t>Annexure-I.</w:t>
      </w:r>
      <w:r w:rsidR="0081057D" w:rsidRPr="004C2769">
        <w:rPr>
          <w:rFonts w:eastAsia="Calibri" w:cstheme="minorHAnsi"/>
          <w:bCs/>
          <w:spacing w:val="-1"/>
        </w:rPr>
        <w:t xml:space="preserve">The Commission </w:t>
      </w:r>
      <w:r w:rsidR="0081057D" w:rsidRPr="004C2769">
        <w:rPr>
          <w:rFonts w:cstheme="minorHAnsi"/>
          <w:bCs/>
          <w:spacing w:val="-1"/>
        </w:rPr>
        <w:t xml:space="preserve"> felt that the Energy &amp; Power Department (EPDS) needs to </w:t>
      </w:r>
      <w:r w:rsidR="0081057D" w:rsidRPr="004C2769">
        <w:rPr>
          <w:rFonts w:eastAsia="Calibri" w:cstheme="minorHAnsi"/>
          <w:bCs/>
          <w:spacing w:val="-1"/>
        </w:rPr>
        <w:t xml:space="preserve">make efforts to make up the gap by improving the operational performance particularly through reduction of distribution losses which in turn would reduce the resource gap. </w:t>
      </w:r>
      <w:r w:rsidR="00B646E4" w:rsidRPr="004C2769">
        <w:rPr>
          <w:rFonts w:cstheme="minorHAnsi"/>
          <w:bCs/>
          <w:spacing w:val="-1"/>
        </w:rPr>
        <w:t xml:space="preserve">The Commission observed that </w:t>
      </w:r>
      <w:r w:rsidR="0081057D" w:rsidRPr="004C2769">
        <w:rPr>
          <w:rFonts w:eastAsia="Calibri" w:cstheme="minorHAnsi"/>
          <w:bCs/>
          <w:spacing w:val="-1"/>
        </w:rPr>
        <w:t xml:space="preserve"> the outstanding arrears</w:t>
      </w:r>
      <w:r w:rsidR="00B646E4" w:rsidRPr="004C2769">
        <w:rPr>
          <w:rFonts w:cstheme="minorHAnsi"/>
          <w:bCs/>
          <w:spacing w:val="-1"/>
        </w:rPr>
        <w:t xml:space="preserve"> need to be recovered by the EPDS</w:t>
      </w:r>
      <w:r w:rsidR="003134AA" w:rsidRPr="004C2769">
        <w:rPr>
          <w:rFonts w:cstheme="minorHAnsi"/>
          <w:bCs/>
          <w:spacing w:val="-1"/>
        </w:rPr>
        <w:t>.</w:t>
      </w:r>
      <w:r w:rsidR="0029291E" w:rsidRPr="004C2769">
        <w:rPr>
          <w:rFonts w:cstheme="minorHAnsi"/>
          <w:bCs/>
          <w:spacing w:val="-1"/>
        </w:rPr>
        <w:t xml:space="preserve">Thee need to identify high end consumers in the State for </w:t>
      </w:r>
      <w:r w:rsidR="0081057D" w:rsidRPr="004C2769">
        <w:rPr>
          <w:rFonts w:eastAsia="Calibri" w:cstheme="minorHAnsi"/>
          <w:bCs/>
          <w:spacing w:val="-1"/>
        </w:rPr>
        <w:t xml:space="preserve"> increas</w:t>
      </w:r>
      <w:r w:rsidR="0029291E" w:rsidRPr="004C2769">
        <w:rPr>
          <w:rFonts w:cstheme="minorHAnsi"/>
          <w:bCs/>
          <w:spacing w:val="-1"/>
        </w:rPr>
        <w:t>ing</w:t>
      </w:r>
      <w:r w:rsidR="0081057D" w:rsidRPr="004C2769">
        <w:rPr>
          <w:rFonts w:eastAsia="Calibri" w:cstheme="minorHAnsi"/>
          <w:bCs/>
          <w:spacing w:val="-1"/>
        </w:rPr>
        <w:t xml:space="preserve"> the energy demand in the State and the potential revenue from energy sales</w:t>
      </w:r>
      <w:r w:rsidR="0029291E" w:rsidRPr="004C2769">
        <w:rPr>
          <w:rFonts w:cstheme="minorHAnsi"/>
          <w:bCs/>
          <w:spacing w:val="-1"/>
        </w:rPr>
        <w:t xml:space="preserve"> were also stressed by the Commission</w:t>
      </w:r>
      <w:r w:rsidR="0081057D" w:rsidRPr="004C2769">
        <w:rPr>
          <w:rFonts w:eastAsia="Calibri" w:cstheme="minorHAnsi"/>
          <w:bCs/>
          <w:spacing w:val="-1"/>
        </w:rPr>
        <w:t xml:space="preserve">. The Commission </w:t>
      </w:r>
      <w:r w:rsidR="00CF1BB7" w:rsidRPr="004C2769">
        <w:rPr>
          <w:rFonts w:cstheme="minorHAnsi"/>
          <w:bCs/>
          <w:spacing w:val="-1"/>
        </w:rPr>
        <w:t xml:space="preserve"> also highlighted the need for the </w:t>
      </w:r>
      <w:r w:rsidR="0081057D" w:rsidRPr="004C2769">
        <w:rPr>
          <w:rFonts w:eastAsia="Calibri" w:cstheme="minorHAnsi"/>
          <w:bCs/>
          <w:spacing w:val="-1"/>
        </w:rPr>
        <w:t xml:space="preserve">EPDS </w:t>
      </w:r>
      <w:r w:rsidR="00CF1BB7" w:rsidRPr="004C2769">
        <w:rPr>
          <w:rFonts w:cstheme="minorHAnsi"/>
          <w:bCs/>
          <w:spacing w:val="-1"/>
        </w:rPr>
        <w:t xml:space="preserve">to </w:t>
      </w:r>
      <w:r w:rsidR="0035372B" w:rsidRPr="004C2769">
        <w:rPr>
          <w:rFonts w:cstheme="minorHAnsi"/>
          <w:bCs/>
          <w:spacing w:val="-1"/>
        </w:rPr>
        <w:t>make</w:t>
      </w:r>
      <w:r w:rsidR="0081057D" w:rsidRPr="004C2769">
        <w:rPr>
          <w:rFonts w:eastAsia="Calibri" w:cstheme="minorHAnsi"/>
          <w:bCs/>
          <w:spacing w:val="-1"/>
        </w:rPr>
        <w:t xml:space="preserve"> efforts to improve its own generation so that the State demand is met from its own ge</w:t>
      </w:r>
      <w:r w:rsidR="0081057D" w:rsidRPr="004C2769">
        <w:rPr>
          <w:rFonts w:cstheme="minorHAnsi"/>
          <w:bCs/>
          <w:spacing w:val="-1"/>
        </w:rPr>
        <w:t xml:space="preserve">neration. </w:t>
      </w:r>
      <w:r w:rsidR="0081057D" w:rsidRPr="004C2769">
        <w:rPr>
          <w:rFonts w:cstheme="minorHAnsi"/>
          <w:sz w:val="24"/>
          <w:szCs w:val="24"/>
        </w:rPr>
        <w:t>As such, the Commission did not propose for any hike in the Tariff for all categories of consumers for the F.Y 2014-15.</w:t>
      </w:r>
    </w:p>
    <w:p w:rsidR="00CF2B99" w:rsidRPr="004C2769" w:rsidRDefault="00CF2B99" w:rsidP="00B759AE">
      <w:pPr>
        <w:pStyle w:val="NoSpacing"/>
        <w:ind w:left="720" w:firstLine="720"/>
        <w:jc w:val="both"/>
        <w:rPr>
          <w:rFonts w:cstheme="minorHAnsi"/>
          <w:sz w:val="24"/>
          <w:szCs w:val="24"/>
        </w:rPr>
      </w:pPr>
      <w:r w:rsidRPr="004C2769">
        <w:rPr>
          <w:rFonts w:cstheme="minorHAnsi"/>
          <w:sz w:val="24"/>
          <w:szCs w:val="24"/>
        </w:rPr>
        <w:t>The details of the ARR/Revenue Gap approved by the Commission for F.Y. 2</w:t>
      </w:r>
      <w:r w:rsidR="001B777D">
        <w:rPr>
          <w:rFonts w:cstheme="minorHAnsi"/>
          <w:sz w:val="24"/>
          <w:szCs w:val="24"/>
        </w:rPr>
        <w:t>014-15 is presented in Table 1.1</w:t>
      </w:r>
      <w:r w:rsidRPr="004C2769">
        <w:rPr>
          <w:rFonts w:cstheme="minorHAnsi"/>
          <w:sz w:val="24"/>
          <w:szCs w:val="24"/>
        </w:rPr>
        <w:t xml:space="preserve"> hereunder.</w:t>
      </w:r>
    </w:p>
    <w:p w:rsidR="00CF2B99" w:rsidRPr="004C2769" w:rsidRDefault="00CF2B99" w:rsidP="00CF2B99">
      <w:pPr>
        <w:pStyle w:val="NoSpacing"/>
        <w:ind w:left="720"/>
        <w:jc w:val="both"/>
        <w:rPr>
          <w:rFonts w:cstheme="minorHAnsi"/>
          <w:sz w:val="24"/>
          <w:szCs w:val="24"/>
        </w:rPr>
      </w:pPr>
    </w:p>
    <w:p w:rsidR="00CF2B99" w:rsidRPr="004C2769" w:rsidRDefault="001B777D" w:rsidP="00CF2B99">
      <w:pPr>
        <w:pStyle w:val="Heading1"/>
        <w:spacing w:before="0"/>
        <w:jc w:val="center"/>
        <w:rPr>
          <w:rFonts w:asciiTheme="minorHAnsi" w:eastAsia="Calibri" w:hAnsiTheme="minorHAnsi" w:cstheme="minorHAnsi"/>
          <w:sz w:val="22"/>
        </w:rPr>
      </w:pPr>
      <w:r>
        <w:rPr>
          <w:rFonts w:asciiTheme="minorHAnsi" w:eastAsia="Calibri" w:hAnsiTheme="minorHAnsi" w:cstheme="minorHAnsi"/>
          <w:sz w:val="22"/>
        </w:rPr>
        <w:t>Table 1.1</w:t>
      </w:r>
      <w:r w:rsidR="00CF2B99" w:rsidRPr="004C2769">
        <w:rPr>
          <w:rFonts w:asciiTheme="minorHAnsi" w:eastAsia="Calibri" w:hAnsiTheme="minorHAnsi" w:cstheme="minorHAnsi"/>
          <w:sz w:val="22"/>
        </w:rPr>
        <w:t>: Aggregate Revenue Requirement approved by the Commission for</w:t>
      </w:r>
    </w:p>
    <w:p w:rsidR="00CF2B99" w:rsidRPr="004C2769" w:rsidRDefault="004515ED" w:rsidP="004515ED">
      <w:pPr>
        <w:pStyle w:val="Heading1"/>
        <w:tabs>
          <w:tab w:val="center" w:pos="4879"/>
          <w:tab w:val="left" w:pos="8070"/>
        </w:tabs>
        <w:spacing w:before="0"/>
        <w:rPr>
          <w:rFonts w:asciiTheme="minorHAnsi" w:eastAsia="Calibri" w:hAnsiTheme="minorHAnsi" w:cstheme="minorHAnsi"/>
          <w:sz w:val="22"/>
        </w:rPr>
      </w:pPr>
      <w:bookmarkStart w:id="0" w:name="_Toc383176106"/>
      <w:r w:rsidRPr="004C2769">
        <w:rPr>
          <w:rFonts w:asciiTheme="minorHAnsi" w:eastAsia="Calibri" w:hAnsiTheme="minorHAnsi" w:cstheme="minorHAnsi"/>
          <w:sz w:val="22"/>
        </w:rPr>
        <w:tab/>
      </w:r>
      <w:r w:rsidR="00CF2B99" w:rsidRPr="004C2769">
        <w:rPr>
          <w:rFonts w:asciiTheme="minorHAnsi" w:eastAsia="Calibri" w:hAnsiTheme="minorHAnsi" w:cstheme="minorHAnsi"/>
          <w:sz w:val="22"/>
        </w:rPr>
        <w:t>FY 2014-15</w:t>
      </w:r>
      <w:bookmarkEnd w:id="0"/>
      <w:r w:rsidRPr="004C2769">
        <w:rPr>
          <w:rFonts w:asciiTheme="minorHAnsi" w:eastAsia="Calibri" w:hAnsiTheme="minorHAnsi" w:cstheme="minorHAnsi"/>
          <w:sz w:val="22"/>
        </w:rPr>
        <w:tab/>
        <w:t>(Rs.Cr)</w:t>
      </w:r>
    </w:p>
    <w:tbl>
      <w:tblPr>
        <w:tblStyle w:val="TableGrid"/>
        <w:tblW w:w="0" w:type="auto"/>
        <w:tblInd w:w="817" w:type="dxa"/>
        <w:tblLook w:val="04A0"/>
      </w:tblPr>
      <w:tblGrid>
        <w:gridCol w:w="848"/>
        <w:gridCol w:w="2816"/>
        <w:gridCol w:w="1834"/>
        <w:gridCol w:w="1553"/>
        <w:gridCol w:w="1823"/>
      </w:tblGrid>
      <w:tr w:rsidR="00CE51A5" w:rsidRPr="004C2769" w:rsidTr="00CE51A5">
        <w:tc>
          <w:tcPr>
            <w:tcW w:w="851" w:type="dxa"/>
          </w:tcPr>
          <w:p w:rsidR="00CE51A5" w:rsidRPr="004C2769" w:rsidRDefault="00CE51A5" w:rsidP="008427DD">
            <w:pPr>
              <w:rPr>
                <w:rFonts w:cstheme="minorHAnsi"/>
                <w:b/>
                <w:lang w:val="en-US"/>
              </w:rPr>
            </w:pPr>
            <w:r w:rsidRPr="004C2769">
              <w:rPr>
                <w:rFonts w:cstheme="minorHAnsi"/>
                <w:b/>
                <w:lang w:val="en-US"/>
              </w:rPr>
              <w:t>Sl.No</w:t>
            </w:r>
          </w:p>
        </w:tc>
        <w:tc>
          <w:tcPr>
            <w:tcW w:w="2835" w:type="dxa"/>
          </w:tcPr>
          <w:p w:rsidR="00CE51A5" w:rsidRPr="004C2769" w:rsidRDefault="00CE51A5" w:rsidP="008427DD">
            <w:pPr>
              <w:rPr>
                <w:rFonts w:cstheme="minorHAnsi"/>
                <w:b/>
                <w:lang w:val="en-US"/>
              </w:rPr>
            </w:pPr>
            <w:r w:rsidRPr="004C2769">
              <w:rPr>
                <w:rFonts w:cstheme="minorHAnsi"/>
                <w:b/>
                <w:lang w:val="en-US"/>
              </w:rPr>
              <w:t>Particulars</w:t>
            </w:r>
          </w:p>
        </w:tc>
        <w:tc>
          <w:tcPr>
            <w:tcW w:w="1842" w:type="dxa"/>
          </w:tcPr>
          <w:p w:rsidR="00CE51A5" w:rsidRPr="004C2769" w:rsidRDefault="00CE51A5" w:rsidP="008427DD">
            <w:pPr>
              <w:jc w:val="center"/>
              <w:rPr>
                <w:rFonts w:cstheme="minorHAnsi"/>
                <w:b/>
                <w:bCs/>
              </w:rPr>
            </w:pPr>
            <w:r w:rsidRPr="004C2769">
              <w:rPr>
                <w:rFonts w:eastAsia="Calibri" w:cstheme="minorHAnsi"/>
                <w:b/>
                <w:bCs/>
              </w:rPr>
              <w:t>Approved by the Commission</w:t>
            </w:r>
          </w:p>
        </w:tc>
        <w:tc>
          <w:tcPr>
            <w:tcW w:w="1560" w:type="dxa"/>
          </w:tcPr>
          <w:p w:rsidR="00CE51A5" w:rsidRPr="004C2769" w:rsidRDefault="00CE51A5" w:rsidP="008427DD">
            <w:pPr>
              <w:jc w:val="both"/>
              <w:rPr>
                <w:rFonts w:eastAsia="Calibri" w:cstheme="minorHAnsi"/>
                <w:b/>
                <w:bCs/>
              </w:rPr>
            </w:pPr>
            <w:r w:rsidRPr="004C2769">
              <w:rPr>
                <w:rFonts w:eastAsia="Calibri" w:cstheme="minorHAnsi"/>
                <w:b/>
                <w:bCs/>
              </w:rPr>
              <w:t xml:space="preserve">Actuals furnished by EPDS </w:t>
            </w:r>
          </w:p>
          <w:p w:rsidR="00CE51A5" w:rsidRPr="004C2769" w:rsidRDefault="00CE51A5" w:rsidP="008427DD">
            <w:pPr>
              <w:rPr>
                <w:rFonts w:cstheme="minorHAnsi"/>
                <w:lang w:val="en-US"/>
              </w:rPr>
            </w:pPr>
          </w:p>
        </w:tc>
        <w:tc>
          <w:tcPr>
            <w:tcW w:w="1830" w:type="dxa"/>
          </w:tcPr>
          <w:p w:rsidR="00CE51A5" w:rsidRPr="004C2769" w:rsidRDefault="00CE51A5" w:rsidP="008427DD">
            <w:pPr>
              <w:rPr>
                <w:rFonts w:cstheme="minorHAnsi"/>
                <w:lang w:val="en-US"/>
              </w:rPr>
            </w:pPr>
            <w:r w:rsidRPr="004C2769">
              <w:rPr>
                <w:rFonts w:cstheme="minorHAnsi"/>
                <w:b/>
                <w:bCs/>
              </w:rPr>
              <w:t xml:space="preserve">Revised </w:t>
            </w:r>
            <w:r w:rsidRPr="004C2769">
              <w:rPr>
                <w:rFonts w:eastAsia="Calibri" w:cstheme="minorHAnsi"/>
                <w:b/>
                <w:bCs/>
              </w:rPr>
              <w:t xml:space="preserve">approved by Commission </w:t>
            </w:r>
            <w:r w:rsidRPr="004C2769">
              <w:rPr>
                <w:rFonts w:cstheme="minorHAnsi"/>
                <w:b/>
                <w:bCs/>
              </w:rPr>
              <w:t>after True Up</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Cost of Fuel</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0.16</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0.34</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0.35</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Cost of Power Purchase</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176.65</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176.65</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173.70</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Employee Costs</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45.15</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47.89</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47.89</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R&amp;M Expenses</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33.93</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34.98</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34.98</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5</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Administration and General Expenses</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3.46</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3.51</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3.10</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lastRenderedPageBreak/>
              <w:t>6</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Depreciation</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33.99</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40.04</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14.00</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7</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Interest Charges</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62.80</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67.81</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8</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Interest on Working Capital</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3.46</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3.66</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3.73</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9</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Return on NFA/Equity</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29.67</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34.48</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10</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Income Tax</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0.00</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0.00</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11</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Total Revenue Requirement</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389.27</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409.37</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277.74</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12</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Less: Non Tariff Income</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0.62</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0.59</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2.40</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13</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Net Revenue Requirement</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388.64</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408.78</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275.34</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14</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Revenue from Tariff</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102.54</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108.74</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111.70</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15</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Revenue from Outside State Sale</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119.69</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119.69</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112.73</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16</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Gap (13 - 14 – 15)</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166.42</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180.35</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50.92</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17</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Gap for FY 2012-13</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165.73</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b/>
                <w:spacing w:val="-1"/>
              </w:rPr>
            </w:pPr>
            <w:r w:rsidRPr="004C2769">
              <w:rPr>
                <w:rFonts w:eastAsia="Calibri" w:cstheme="minorHAnsi"/>
                <w:b/>
                <w:spacing w:val="-1"/>
              </w:rPr>
              <w:t>-</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18</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Gap for FY 2013-14</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332.14</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19</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Total Gap (14+15)</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332.14</w:t>
            </w: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512.49</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50.91</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20</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Energy Sales within state</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255.79</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264</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21</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Energy Sales outside state</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411.72</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388.73</w:t>
            </w:r>
          </w:p>
        </w:tc>
      </w:tr>
      <w:tr w:rsidR="00CE51A5" w:rsidRPr="004C2769" w:rsidTr="00CE51A5">
        <w:tc>
          <w:tcPr>
            <w:tcW w:w="851" w:type="dxa"/>
            <w:vAlign w:val="center"/>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23</w:t>
            </w:r>
          </w:p>
        </w:tc>
        <w:tc>
          <w:tcPr>
            <w:tcW w:w="2835"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Average Cost of Supply (13/(19+20) Rs/Kwh</w:t>
            </w:r>
          </w:p>
        </w:tc>
        <w:tc>
          <w:tcPr>
            <w:tcW w:w="1842"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p>
        </w:tc>
        <w:tc>
          <w:tcPr>
            <w:tcW w:w="156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6.12</w:t>
            </w:r>
          </w:p>
        </w:tc>
        <w:tc>
          <w:tcPr>
            <w:tcW w:w="1830" w:type="dxa"/>
            <w:vAlign w:val="bottom"/>
          </w:tcPr>
          <w:p w:rsidR="00CE51A5" w:rsidRPr="004C2769" w:rsidRDefault="00CE51A5" w:rsidP="008427DD">
            <w:pPr>
              <w:widowControl w:val="0"/>
              <w:autoSpaceDE w:val="0"/>
              <w:autoSpaceDN w:val="0"/>
              <w:adjustRightInd w:val="0"/>
              <w:jc w:val="both"/>
              <w:rPr>
                <w:rFonts w:eastAsia="Calibri" w:cstheme="minorHAnsi"/>
                <w:spacing w:val="-1"/>
              </w:rPr>
            </w:pPr>
            <w:r w:rsidRPr="004C2769">
              <w:rPr>
                <w:rFonts w:eastAsia="Calibri" w:cstheme="minorHAnsi"/>
                <w:spacing w:val="-1"/>
              </w:rPr>
              <w:t>4.22</w:t>
            </w:r>
          </w:p>
        </w:tc>
      </w:tr>
    </w:tbl>
    <w:p w:rsidR="00CE51A5" w:rsidRPr="004C2769" w:rsidRDefault="00CE51A5" w:rsidP="00CE51A5">
      <w:pPr>
        <w:rPr>
          <w:rFonts w:cstheme="minorHAnsi"/>
          <w:sz w:val="24"/>
          <w:szCs w:val="24"/>
          <w:lang w:val="en-US"/>
        </w:rPr>
      </w:pPr>
    </w:p>
    <w:p w:rsidR="008328B5" w:rsidRDefault="00CE51A5" w:rsidP="00CF2B99">
      <w:pPr>
        <w:pStyle w:val="NoSpacing"/>
        <w:ind w:left="720"/>
        <w:jc w:val="both"/>
        <w:rPr>
          <w:rFonts w:eastAsia="Calibri" w:cstheme="minorHAnsi"/>
          <w:b/>
          <w:bCs/>
          <w:spacing w:val="-1"/>
          <w:sz w:val="24"/>
          <w:szCs w:val="24"/>
        </w:rPr>
      </w:pPr>
      <w:r w:rsidRPr="004C2769">
        <w:rPr>
          <w:rFonts w:cstheme="minorHAnsi"/>
          <w:b/>
          <w:bCs/>
          <w:spacing w:val="-1"/>
          <w:sz w:val="24"/>
          <w:szCs w:val="24"/>
        </w:rPr>
        <w:t>Th</w:t>
      </w:r>
      <w:r w:rsidR="00CF2B99" w:rsidRPr="004C2769">
        <w:rPr>
          <w:rFonts w:eastAsia="Calibri" w:cstheme="minorHAnsi"/>
          <w:b/>
          <w:bCs/>
          <w:spacing w:val="-1"/>
          <w:sz w:val="24"/>
          <w:szCs w:val="24"/>
        </w:rPr>
        <w:t>e Revenue gap of Rs. 50.91 core arrived at above is based on projected data of FY 2014-15, which is about 18.50% of the ARR.</w:t>
      </w:r>
    </w:p>
    <w:p w:rsidR="00AD2EDD" w:rsidRPr="004C2769" w:rsidRDefault="00AD2EDD" w:rsidP="00CF2B99">
      <w:pPr>
        <w:pStyle w:val="NoSpacing"/>
        <w:ind w:left="720"/>
        <w:jc w:val="both"/>
        <w:rPr>
          <w:rFonts w:cstheme="minorHAnsi"/>
          <w:b/>
          <w:bCs/>
          <w:spacing w:val="-1"/>
          <w:sz w:val="24"/>
          <w:szCs w:val="24"/>
        </w:rPr>
      </w:pPr>
    </w:p>
    <w:p w:rsidR="008328B5" w:rsidRPr="004C2769" w:rsidRDefault="008328B5" w:rsidP="00823204">
      <w:pPr>
        <w:pStyle w:val="NoSpacing"/>
        <w:ind w:left="720"/>
        <w:jc w:val="both"/>
        <w:rPr>
          <w:rFonts w:cstheme="minorHAnsi"/>
          <w:b/>
          <w:sz w:val="24"/>
          <w:szCs w:val="24"/>
        </w:rPr>
      </w:pPr>
    </w:p>
    <w:p w:rsidR="00BD3712" w:rsidRPr="004C2769" w:rsidRDefault="004538F8" w:rsidP="00823204">
      <w:pPr>
        <w:pStyle w:val="NoSpacing"/>
        <w:ind w:left="720"/>
        <w:jc w:val="both"/>
        <w:rPr>
          <w:rFonts w:cstheme="minorHAnsi"/>
          <w:b/>
          <w:color w:val="FFFF00"/>
          <w:sz w:val="24"/>
          <w:szCs w:val="24"/>
        </w:rPr>
      </w:pPr>
      <w:r w:rsidRPr="003E1206">
        <w:rPr>
          <w:rFonts w:cstheme="minorHAnsi"/>
          <w:b/>
          <w:sz w:val="24"/>
          <w:szCs w:val="24"/>
        </w:rPr>
        <w:t>2.</w:t>
      </w:r>
      <w:r w:rsidR="003E1206">
        <w:rPr>
          <w:rFonts w:cstheme="minorHAnsi"/>
          <w:b/>
          <w:sz w:val="24"/>
          <w:szCs w:val="24"/>
        </w:rPr>
        <w:t>6</w:t>
      </w:r>
      <w:r w:rsidRPr="003E1206">
        <w:rPr>
          <w:rFonts w:cstheme="minorHAnsi"/>
          <w:b/>
          <w:color w:val="FFFF00"/>
          <w:sz w:val="24"/>
          <w:szCs w:val="24"/>
        </w:rPr>
        <w:t xml:space="preserve"> </w:t>
      </w:r>
      <w:r w:rsidR="002443D2" w:rsidRPr="00D86288">
        <w:rPr>
          <w:rFonts w:cstheme="minorHAnsi"/>
          <w:b/>
          <w:color w:val="FFFF00"/>
          <w:sz w:val="24"/>
          <w:szCs w:val="24"/>
          <w:highlight w:val="darkGreen"/>
        </w:rPr>
        <w:t>PROVISIONAL TRUE UP</w:t>
      </w:r>
      <w:r w:rsidR="005F4C2E" w:rsidRPr="00D86288">
        <w:rPr>
          <w:rFonts w:cstheme="minorHAnsi"/>
          <w:b/>
          <w:color w:val="FFFF00"/>
          <w:sz w:val="24"/>
          <w:szCs w:val="24"/>
          <w:highlight w:val="darkGreen"/>
        </w:rPr>
        <w:t xml:space="preserve">/REVIEW </w:t>
      </w:r>
      <w:r w:rsidR="002443D2" w:rsidRPr="00D86288">
        <w:rPr>
          <w:rFonts w:cstheme="minorHAnsi"/>
          <w:b/>
          <w:color w:val="FFFF00"/>
          <w:sz w:val="24"/>
          <w:szCs w:val="24"/>
          <w:highlight w:val="darkGreen"/>
        </w:rPr>
        <w:t xml:space="preserve"> FOR F.Y 2012-13  AND F.Y 2013-14</w:t>
      </w:r>
    </w:p>
    <w:p w:rsidR="002443D2" w:rsidRPr="004C2769" w:rsidRDefault="002443D2" w:rsidP="00823204">
      <w:pPr>
        <w:pStyle w:val="NoSpacing"/>
        <w:ind w:left="720"/>
        <w:jc w:val="both"/>
        <w:rPr>
          <w:rFonts w:cstheme="minorHAnsi"/>
          <w:sz w:val="24"/>
          <w:szCs w:val="24"/>
        </w:rPr>
      </w:pPr>
    </w:p>
    <w:p w:rsidR="00656614" w:rsidRPr="004C2769" w:rsidRDefault="002443D2" w:rsidP="001B4004">
      <w:pPr>
        <w:pStyle w:val="NoSpacing"/>
        <w:ind w:left="720"/>
        <w:jc w:val="both"/>
        <w:rPr>
          <w:rFonts w:cstheme="minorHAnsi"/>
          <w:sz w:val="24"/>
          <w:szCs w:val="24"/>
        </w:rPr>
      </w:pPr>
      <w:r w:rsidRPr="004C2769">
        <w:rPr>
          <w:rFonts w:cstheme="minorHAnsi"/>
          <w:sz w:val="24"/>
          <w:szCs w:val="24"/>
        </w:rPr>
        <w:t xml:space="preserve">The Commission </w:t>
      </w:r>
      <w:r w:rsidR="00F8672C" w:rsidRPr="004C2769">
        <w:rPr>
          <w:rFonts w:cstheme="minorHAnsi"/>
          <w:sz w:val="24"/>
          <w:szCs w:val="24"/>
        </w:rPr>
        <w:t xml:space="preserve">after </w:t>
      </w:r>
      <w:r w:rsidR="00DA5037" w:rsidRPr="004C2769">
        <w:rPr>
          <w:rFonts w:cstheme="minorHAnsi"/>
          <w:sz w:val="24"/>
          <w:szCs w:val="24"/>
        </w:rPr>
        <w:t>prudence check and detailed scrutiny of the Petition filed by the Energy &amp; Power Department for Provisional True Up for F.Y 2012-13 and Review for F.Y 203-14</w:t>
      </w:r>
      <w:r w:rsidR="00F8672C" w:rsidRPr="004C2769">
        <w:rPr>
          <w:rFonts w:cstheme="minorHAnsi"/>
          <w:sz w:val="24"/>
          <w:szCs w:val="24"/>
        </w:rPr>
        <w:t>, carried out the Provisional True Up/Review for F.Y. 2012-13 and F.Y 2013-14.</w:t>
      </w:r>
    </w:p>
    <w:p w:rsidR="00656614" w:rsidRPr="004C2769" w:rsidRDefault="00656614" w:rsidP="001B4004">
      <w:pPr>
        <w:pStyle w:val="NoSpacing"/>
        <w:ind w:left="720"/>
        <w:jc w:val="both"/>
        <w:rPr>
          <w:rFonts w:cstheme="minorHAnsi"/>
          <w:sz w:val="24"/>
          <w:szCs w:val="24"/>
        </w:rPr>
      </w:pPr>
    </w:p>
    <w:p w:rsidR="003E7AE5" w:rsidRPr="004C2769" w:rsidRDefault="003E7AE5" w:rsidP="001B4004">
      <w:pPr>
        <w:pStyle w:val="NoSpacing"/>
        <w:ind w:left="720"/>
        <w:jc w:val="both"/>
        <w:rPr>
          <w:rFonts w:cstheme="minorHAnsi"/>
          <w:sz w:val="24"/>
          <w:szCs w:val="24"/>
        </w:rPr>
      </w:pPr>
      <w:r w:rsidRPr="004C2769">
        <w:rPr>
          <w:rFonts w:cstheme="minorHAnsi"/>
          <w:sz w:val="24"/>
          <w:szCs w:val="24"/>
        </w:rPr>
        <w:t xml:space="preserve">Based on the actuals furnished by the Department, the </w:t>
      </w:r>
      <w:r w:rsidR="00F8672C" w:rsidRPr="004C2769">
        <w:rPr>
          <w:rFonts w:cstheme="minorHAnsi"/>
          <w:sz w:val="24"/>
          <w:szCs w:val="24"/>
        </w:rPr>
        <w:t>Commission considered</w:t>
      </w:r>
      <w:r w:rsidRPr="004C2769">
        <w:rPr>
          <w:rFonts w:cstheme="minorHAnsi"/>
          <w:sz w:val="24"/>
          <w:szCs w:val="24"/>
        </w:rPr>
        <w:t xml:space="preserve"> and approved the provisional True Up for F.Y 2012-13 and Review for F.Y.2014-14. The ARR and Revenue Gap approved by the Commission for F.Y. 2012-13 </w:t>
      </w:r>
      <w:r w:rsidR="000D253C" w:rsidRPr="004C2769">
        <w:rPr>
          <w:rFonts w:cstheme="minorHAnsi"/>
          <w:sz w:val="24"/>
          <w:szCs w:val="24"/>
        </w:rPr>
        <w:t xml:space="preserve"> and for F.Y 2013-14 after provisional True Up </w:t>
      </w:r>
      <w:r w:rsidR="00656614" w:rsidRPr="004C2769">
        <w:rPr>
          <w:rFonts w:cstheme="minorHAnsi"/>
          <w:sz w:val="24"/>
          <w:szCs w:val="24"/>
        </w:rPr>
        <w:t xml:space="preserve"> in the Tariff Order for F.Y 2014-15 </w:t>
      </w:r>
      <w:r w:rsidR="000D253C" w:rsidRPr="004C2769">
        <w:rPr>
          <w:rFonts w:cstheme="minorHAnsi"/>
          <w:sz w:val="24"/>
          <w:szCs w:val="24"/>
        </w:rPr>
        <w:t>are indicated below in Table 1.</w:t>
      </w:r>
      <w:r w:rsidR="001B777D">
        <w:rPr>
          <w:rFonts w:cstheme="minorHAnsi"/>
          <w:sz w:val="24"/>
          <w:szCs w:val="24"/>
        </w:rPr>
        <w:t>2</w:t>
      </w:r>
      <w:r w:rsidR="000D253C" w:rsidRPr="004C2769">
        <w:rPr>
          <w:rFonts w:cstheme="minorHAnsi"/>
          <w:sz w:val="24"/>
          <w:szCs w:val="24"/>
        </w:rPr>
        <w:t xml:space="preserve"> and Table 1.</w:t>
      </w:r>
      <w:r w:rsidR="001B777D">
        <w:rPr>
          <w:rFonts w:cstheme="minorHAnsi"/>
          <w:sz w:val="24"/>
          <w:szCs w:val="24"/>
        </w:rPr>
        <w:t>3</w:t>
      </w:r>
      <w:r w:rsidR="000D253C" w:rsidRPr="004C2769">
        <w:rPr>
          <w:rFonts w:cstheme="minorHAnsi"/>
          <w:sz w:val="24"/>
          <w:szCs w:val="24"/>
        </w:rPr>
        <w:t xml:space="preserve"> respectively.</w:t>
      </w:r>
    </w:p>
    <w:p w:rsidR="001B4004" w:rsidRPr="004C2769" w:rsidRDefault="001B4004" w:rsidP="001B4004">
      <w:pPr>
        <w:pStyle w:val="Heading1"/>
        <w:contextualSpacing/>
        <w:jc w:val="center"/>
        <w:rPr>
          <w:rFonts w:asciiTheme="minorHAnsi" w:hAnsiTheme="minorHAnsi" w:cstheme="minorHAnsi"/>
          <w:sz w:val="22"/>
        </w:rPr>
      </w:pPr>
      <w:bookmarkStart w:id="1" w:name="_Toc383175987"/>
      <w:r w:rsidRPr="004C2769">
        <w:rPr>
          <w:rFonts w:asciiTheme="minorHAnsi" w:hAnsiTheme="minorHAnsi" w:cstheme="minorHAnsi"/>
          <w:sz w:val="22"/>
        </w:rPr>
        <w:t>Table 1.</w:t>
      </w:r>
      <w:r w:rsidR="001B777D">
        <w:rPr>
          <w:rFonts w:asciiTheme="minorHAnsi" w:hAnsiTheme="minorHAnsi" w:cstheme="minorHAnsi"/>
          <w:sz w:val="22"/>
        </w:rPr>
        <w:t>2</w:t>
      </w:r>
      <w:r w:rsidRPr="004C2769">
        <w:rPr>
          <w:rFonts w:asciiTheme="minorHAnsi" w:hAnsiTheme="minorHAnsi" w:cstheme="minorHAnsi"/>
          <w:sz w:val="22"/>
        </w:rPr>
        <w:t xml:space="preserve"> : Aggregate Revenue Requirement and Gap approved by the Commission </w:t>
      </w:r>
    </w:p>
    <w:p w:rsidR="005A7A8B" w:rsidRPr="004C2769" w:rsidRDefault="001B4004" w:rsidP="00FE6BE1">
      <w:pPr>
        <w:pStyle w:val="Heading1"/>
        <w:contextualSpacing/>
        <w:jc w:val="center"/>
        <w:rPr>
          <w:rFonts w:asciiTheme="minorHAnsi" w:hAnsiTheme="minorHAnsi" w:cstheme="minorHAnsi"/>
          <w:sz w:val="22"/>
        </w:rPr>
      </w:pPr>
      <w:r w:rsidRPr="004C2769">
        <w:rPr>
          <w:rFonts w:asciiTheme="minorHAnsi" w:hAnsiTheme="minorHAnsi" w:cstheme="minorHAnsi"/>
          <w:sz w:val="22"/>
        </w:rPr>
        <w:t>for FY 2012-13</w:t>
      </w:r>
      <w:bookmarkEnd w:id="1"/>
      <w:r w:rsidRPr="004C2769">
        <w:rPr>
          <w:rFonts w:asciiTheme="minorHAnsi" w:hAnsiTheme="minorHAnsi" w:cstheme="minorHAnsi"/>
          <w:sz w:val="22"/>
        </w:rPr>
        <w:t xml:space="preserve"> (Provisional True Up)</w:t>
      </w:r>
    </w:p>
    <w:p w:rsidR="00CC6E1A" w:rsidRPr="004C2769" w:rsidRDefault="00CC6E1A" w:rsidP="00CC6E1A">
      <w:pPr>
        <w:tabs>
          <w:tab w:val="left" w:pos="7890"/>
        </w:tabs>
        <w:rPr>
          <w:rFonts w:cstheme="minorHAnsi"/>
          <w:b/>
          <w:lang w:val="en-US"/>
        </w:rPr>
      </w:pPr>
      <w:r w:rsidRPr="004C2769">
        <w:rPr>
          <w:rFonts w:cstheme="minorHAnsi"/>
          <w:lang w:val="en-US"/>
        </w:rPr>
        <w:tab/>
      </w:r>
      <w:r w:rsidRPr="004C2769">
        <w:rPr>
          <w:rFonts w:cstheme="minorHAnsi"/>
          <w:b/>
          <w:lang w:val="en-US"/>
        </w:rPr>
        <w:t>(Rs.Cr)</w:t>
      </w:r>
    </w:p>
    <w:tbl>
      <w:tblPr>
        <w:tblStyle w:val="TableGrid"/>
        <w:tblW w:w="0" w:type="auto"/>
        <w:tblInd w:w="817" w:type="dxa"/>
        <w:tblLook w:val="04A0"/>
      </w:tblPr>
      <w:tblGrid>
        <w:gridCol w:w="849"/>
        <w:gridCol w:w="2103"/>
        <w:gridCol w:w="2164"/>
        <w:gridCol w:w="1838"/>
        <w:gridCol w:w="1920"/>
      </w:tblGrid>
      <w:tr w:rsidR="005A7A8B" w:rsidRPr="004C2769" w:rsidTr="00FE6BE1">
        <w:tc>
          <w:tcPr>
            <w:tcW w:w="851" w:type="dxa"/>
          </w:tcPr>
          <w:p w:rsidR="005A7A8B" w:rsidRPr="004C2769" w:rsidRDefault="005A7A8B" w:rsidP="005A7A8B">
            <w:pPr>
              <w:rPr>
                <w:rFonts w:cstheme="minorHAnsi"/>
                <w:b/>
                <w:lang w:val="en-US"/>
              </w:rPr>
            </w:pPr>
            <w:r w:rsidRPr="004C2769">
              <w:rPr>
                <w:rFonts w:cstheme="minorHAnsi"/>
                <w:b/>
                <w:lang w:val="en-US"/>
              </w:rPr>
              <w:t>Sl.No</w:t>
            </w:r>
          </w:p>
        </w:tc>
        <w:tc>
          <w:tcPr>
            <w:tcW w:w="2114" w:type="dxa"/>
          </w:tcPr>
          <w:p w:rsidR="005A7A8B" w:rsidRPr="004C2769" w:rsidRDefault="005A7A8B" w:rsidP="005A7A8B">
            <w:pPr>
              <w:rPr>
                <w:rFonts w:cstheme="minorHAnsi"/>
                <w:b/>
                <w:lang w:val="en-US"/>
              </w:rPr>
            </w:pPr>
            <w:r w:rsidRPr="004C2769">
              <w:rPr>
                <w:rFonts w:cstheme="minorHAnsi"/>
                <w:b/>
                <w:lang w:val="en-US"/>
              </w:rPr>
              <w:t>Particulars</w:t>
            </w:r>
          </w:p>
        </w:tc>
        <w:tc>
          <w:tcPr>
            <w:tcW w:w="2176" w:type="dxa"/>
          </w:tcPr>
          <w:p w:rsidR="005A7A8B" w:rsidRPr="004C2769" w:rsidRDefault="005A7A8B" w:rsidP="00CA046A">
            <w:pPr>
              <w:jc w:val="center"/>
              <w:rPr>
                <w:rFonts w:cstheme="minorHAnsi"/>
                <w:b/>
                <w:bCs/>
              </w:rPr>
            </w:pPr>
            <w:r w:rsidRPr="004C2769">
              <w:rPr>
                <w:rFonts w:eastAsia="Calibri" w:cstheme="minorHAnsi"/>
                <w:b/>
                <w:bCs/>
              </w:rPr>
              <w:t>Approved by the Commission</w:t>
            </w:r>
          </w:p>
        </w:tc>
        <w:tc>
          <w:tcPr>
            <w:tcW w:w="1849" w:type="dxa"/>
          </w:tcPr>
          <w:p w:rsidR="005A7A8B" w:rsidRPr="004C2769" w:rsidRDefault="005A7A8B" w:rsidP="005A7A8B">
            <w:pPr>
              <w:jc w:val="both"/>
              <w:rPr>
                <w:rFonts w:eastAsia="Calibri" w:cstheme="minorHAnsi"/>
                <w:b/>
                <w:bCs/>
              </w:rPr>
            </w:pPr>
            <w:r w:rsidRPr="004C2769">
              <w:rPr>
                <w:rFonts w:eastAsia="Calibri" w:cstheme="minorHAnsi"/>
                <w:b/>
                <w:bCs/>
              </w:rPr>
              <w:t xml:space="preserve">Actuals furnished by EPDS </w:t>
            </w:r>
          </w:p>
          <w:p w:rsidR="005A7A8B" w:rsidRPr="004C2769" w:rsidRDefault="005A7A8B" w:rsidP="005A7A8B">
            <w:pPr>
              <w:rPr>
                <w:rFonts w:cstheme="minorHAnsi"/>
                <w:lang w:val="en-US"/>
              </w:rPr>
            </w:pPr>
          </w:p>
        </w:tc>
        <w:tc>
          <w:tcPr>
            <w:tcW w:w="1928" w:type="dxa"/>
          </w:tcPr>
          <w:p w:rsidR="005A7A8B" w:rsidRPr="004C2769" w:rsidRDefault="005A7A8B" w:rsidP="005A7A8B">
            <w:pPr>
              <w:rPr>
                <w:rFonts w:cstheme="minorHAnsi"/>
                <w:lang w:val="en-US"/>
              </w:rPr>
            </w:pPr>
            <w:r w:rsidRPr="004C2769">
              <w:rPr>
                <w:rFonts w:cstheme="minorHAnsi"/>
                <w:b/>
                <w:bCs/>
              </w:rPr>
              <w:t xml:space="preserve">Revised </w:t>
            </w:r>
            <w:r w:rsidRPr="004C2769">
              <w:rPr>
                <w:rFonts w:eastAsia="Calibri" w:cstheme="minorHAnsi"/>
                <w:b/>
                <w:bCs/>
              </w:rPr>
              <w:t xml:space="preserve">approved by Commission </w:t>
            </w:r>
            <w:r w:rsidRPr="004C2769">
              <w:rPr>
                <w:rFonts w:cstheme="minorHAnsi"/>
                <w:b/>
                <w:bCs/>
              </w:rPr>
              <w:t>after True Up</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Cost of Fuel</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0.85</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0.17</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0.17</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2</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Cost of Power Purchase</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196.66</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183.25</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183.25</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3</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Employee Costs</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52.21</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42.72</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42.72</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lastRenderedPageBreak/>
              <w:t>4</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R&amp;M Expenses</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8.60</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32.30</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32.30</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5</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Admn &amp; Gen. Expenses</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1.95</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2.82</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2.82</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6</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Depreciation</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4.50</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28.64</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2.60</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7</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Int &amp; Fin Charges</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1.87</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58.40</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8</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Int on W.C.</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3.46</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3.09</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6.10</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9</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Return on Equity</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25.42</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10</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Total ARR</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270.10</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376.82</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269.96</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11</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Less: Non Tariff Income</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15.19</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1.91</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15.19</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12</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Net ARR</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254.91</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374.91</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254.77</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13</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Revenue from Tariff</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82.14</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89.49</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89.49</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14</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Revenue from outside sales</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47.60</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119.69</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119.69</w:t>
            </w:r>
          </w:p>
        </w:tc>
      </w:tr>
      <w:tr w:rsidR="00FE6BE1" w:rsidRPr="004C2769" w:rsidTr="00FE6BE1">
        <w:tc>
          <w:tcPr>
            <w:tcW w:w="851" w:type="dxa"/>
            <w:vAlign w:val="center"/>
          </w:tcPr>
          <w:p w:rsidR="00FE6BE1" w:rsidRPr="004C2769" w:rsidRDefault="00FE6BE1" w:rsidP="008427DD">
            <w:pPr>
              <w:jc w:val="both"/>
              <w:rPr>
                <w:rFonts w:eastAsia="Calibri" w:cstheme="minorHAnsi"/>
                <w:bCs/>
              </w:rPr>
            </w:pPr>
            <w:r w:rsidRPr="004C2769">
              <w:rPr>
                <w:rFonts w:eastAsia="Calibri" w:cstheme="minorHAnsi"/>
                <w:bCs/>
              </w:rPr>
              <w:t>15</w:t>
            </w:r>
          </w:p>
        </w:tc>
        <w:tc>
          <w:tcPr>
            <w:tcW w:w="2114" w:type="dxa"/>
          </w:tcPr>
          <w:p w:rsidR="00FE6BE1" w:rsidRPr="004C2769" w:rsidRDefault="00FE6BE1" w:rsidP="008427DD">
            <w:pPr>
              <w:jc w:val="both"/>
              <w:rPr>
                <w:rFonts w:eastAsia="Calibri" w:cstheme="minorHAnsi"/>
                <w:bCs/>
              </w:rPr>
            </w:pPr>
            <w:r w:rsidRPr="004C2769">
              <w:rPr>
                <w:rFonts w:eastAsia="Calibri" w:cstheme="minorHAnsi"/>
                <w:bCs/>
              </w:rPr>
              <w:t>Gap</w:t>
            </w:r>
          </w:p>
        </w:tc>
        <w:tc>
          <w:tcPr>
            <w:tcW w:w="2176" w:type="dxa"/>
            <w:vAlign w:val="center"/>
          </w:tcPr>
          <w:p w:rsidR="00FE6BE1" w:rsidRPr="004C2769" w:rsidRDefault="00FE6BE1" w:rsidP="008427DD">
            <w:pPr>
              <w:jc w:val="both"/>
              <w:rPr>
                <w:rFonts w:eastAsia="Calibri" w:cstheme="minorHAnsi"/>
                <w:bCs/>
              </w:rPr>
            </w:pPr>
            <w:r w:rsidRPr="004C2769">
              <w:rPr>
                <w:rFonts w:eastAsia="Calibri" w:cstheme="minorHAnsi"/>
                <w:bCs/>
              </w:rPr>
              <w:t>125.17</w:t>
            </w:r>
          </w:p>
        </w:tc>
        <w:tc>
          <w:tcPr>
            <w:tcW w:w="1849" w:type="dxa"/>
            <w:vAlign w:val="center"/>
          </w:tcPr>
          <w:p w:rsidR="00FE6BE1" w:rsidRPr="004C2769" w:rsidRDefault="00FE6BE1" w:rsidP="008427DD">
            <w:pPr>
              <w:jc w:val="both"/>
              <w:rPr>
                <w:rFonts w:eastAsia="Calibri" w:cstheme="minorHAnsi"/>
                <w:bCs/>
              </w:rPr>
            </w:pPr>
            <w:r w:rsidRPr="004C2769">
              <w:rPr>
                <w:rFonts w:eastAsia="Calibri" w:cstheme="minorHAnsi"/>
                <w:bCs/>
              </w:rPr>
              <w:t>165.73</w:t>
            </w:r>
          </w:p>
        </w:tc>
        <w:tc>
          <w:tcPr>
            <w:tcW w:w="1928" w:type="dxa"/>
            <w:vAlign w:val="center"/>
          </w:tcPr>
          <w:p w:rsidR="00FE6BE1" w:rsidRPr="004C2769" w:rsidRDefault="00FE6BE1" w:rsidP="008427DD">
            <w:pPr>
              <w:jc w:val="both"/>
              <w:rPr>
                <w:rFonts w:eastAsia="Calibri" w:cstheme="minorHAnsi"/>
                <w:bCs/>
              </w:rPr>
            </w:pPr>
            <w:r w:rsidRPr="004C2769">
              <w:rPr>
                <w:rFonts w:eastAsia="Calibri" w:cstheme="minorHAnsi"/>
                <w:bCs/>
              </w:rPr>
              <w:t>45.59</w:t>
            </w:r>
          </w:p>
        </w:tc>
      </w:tr>
    </w:tbl>
    <w:p w:rsidR="005C4028" w:rsidRPr="00AD2EDD" w:rsidRDefault="00E461EF" w:rsidP="00AD2EDD">
      <w:pPr>
        <w:pStyle w:val="BodyTextIndent"/>
        <w:rPr>
          <w:rFonts w:asciiTheme="minorHAnsi" w:hAnsiTheme="minorHAnsi" w:cstheme="minorHAnsi"/>
        </w:rPr>
      </w:pPr>
      <w:r w:rsidRPr="004C2769">
        <w:rPr>
          <w:rFonts w:asciiTheme="minorHAnsi" w:hAnsiTheme="minorHAnsi" w:cstheme="minorHAnsi"/>
        </w:rPr>
        <w:t>Review for FY 2012-13 indicated</w:t>
      </w:r>
      <w:r w:rsidR="001B4004" w:rsidRPr="004C2769">
        <w:rPr>
          <w:rFonts w:asciiTheme="minorHAnsi" w:hAnsiTheme="minorHAnsi" w:cstheme="minorHAnsi"/>
        </w:rPr>
        <w:t xml:space="preserve"> that the revenue gap has been reduced to Rs. 45.59 crore as against Rs. 125.17 crore approved in tariff order dated 30.03.2012 for FY 2012-13.</w:t>
      </w:r>
    </w:p>
    <w:p w:rsidR="00D23471" w:rsidRPr="004C2769" w:rsidRDefault="00D23471" w:rsidP="00D23471">
      <w:pPr>
        <w:pStyle w:val="Heading1"/>
        <w:spacing w:before="0"/>
        <w:jc w:val="center"/>
        <w:rPr>
          <w:rFonts w:asciiTheme="minorHAnsi" w:hAnsiTheme="minorHAnsi" w:cstheme="minorHAnsi"/>
          <w:bCs w:val="0"/>
          <w:sz w:val="24"/>
          <w:szCs w:val="24"/>
        </w:rPr>
      </w:pPr>
      <w:bookmarkStart w:id="2" w:name="_Toc383176037"/>
      <w:r w:rsidRPr="004C2769">
        <w:rPr>
          <w:rFonts w:asciiTheme="minorHAnsi" w:hAnsiTheme="minorHAnsi" w:cstheme="minorHAnsi"/>
          <w:bCs w:val="0"/>
          <w:sz w:val="24"/>
          <w:szCs w:val="24"/>
        </w:rPr>
        <w:t>Table 1.</w:t>
      </w:r>
      <w:r w:rsidR="001B777D">
        <w:rPr>
          <w:rFonts w:asciiTheme="minorHAnsi" w:hAnsiTheme="minorHAnsi" w:cstheme="minorHAnsi"/>
          <w:bCs w:val="0"/>
          <w:sz w:val="24"/>
          <w:szCs w:val="24"/>
        </w:rPr>
        <w:t>3</w:t>
      </w:r>
      <w:r w:rsidRPr="004C2769">
        <w:rPr>
          <w:rFonts w:asciiTheme="minorHAnsi" w:hAnsiTheme="minorHAnsi" w:cstheme="minorHAnsi"/>
          <w:bCs w:val="0"/>
          <w:sz w:val="24"/>
          <w:szCs w:val="24"/>
        </w:rPr>
        <w:t>: Aggregate Revenue Requirement and Gap for FY 2013-14</w:t>
      </w:r>
      <w:bookmarkEnd w:id="2"/>
    </w:p>
    <w:p w:rsidR="005226D1" w:rsidRPr="004C2769" w:rsidRDefault="00ED43AA" w:rsidP="00ED43AA">
      <w:pPr>
        <w:tabs>
          <w:tab w:val="left" w:pos="8370"/>
        </w:tabs>
        <w:rPr>
          <w:rFonts w:cstheme="minorHAnsi"/>
          <w:b/>
          <w:lang w:val="en-US"/>
        </w:rPr>
      </w:pPr>
      <w:r w:rsidRPr="004C2769">
        <w:rPr>
          <w:rFonts w:cstheme="minorHAnsi"/>
          <w:lang w:val="en-US"/>
        </w:rPr>
        <w:tab/>
      </w:r>
      <w:r w:rsidRPr="004C2769">
        <w:rPr>
          <w:rFonts w:cstheme="minorHAnsi"/>
          <w:b/>
          <w:lang w:val="en-US"/>
        </w:rPr>
        <w:t>(Rs.Cr)</w:t>
      </w:r>
    </w:p>
    <w:tbl>
      <w:tblPr>
        <w:tblStyle w:val="TableGrid"/>
        <w:tblW w:w="0" w:type="auto"/>
        <w:tblInd w:w="817" w:type="dxa"/>
        <w:tblLook w:val="04A0"/>
      </w:tblPr>
      <w:tblGrid>
        <w:gridCol w:w="849"/>
        <w:gridCol w:w="2102"/>
        <w:gridCol w:w="2164"/>
        <w:gridCol w:w="1839"/>
        <w:gridCol w:w="1920"/>
      </w:tblGrid>
      <w:tr w:rsidR="005226D1" w:rsidRPr="004C2769" w:rsidTr="008427DD">
        <w:tc>
          <w:tcPr>
            <w:tcW w:w="851" w:type="dxa"/>
          </w:tcPr>
          <w:p w:rsidR="005226D1" w:rsidRPr="004C2769" w:rsidRDefault="005226D1" w:rsidP="008427DD">
            <w:pPr>
              <w:rPr>
                <w:rFonts w:cstheme="minorHAnsi"/>
                <w:b/>
                <w:lang w:val="en-US"/>
              </w:rPr>
            </w:pPr>
            <w:r w:rsidRPr="004C2769">
              <w:rPr>
                <w:rFonts w:cstheme="minorHAnsi"/>
                <w:b/>
                <w:lang w:val="en-US"/>
              </w:rPr>
              <w:t>Sl.No</w:t>
            </w:r>
          </w:p>
        </w:tc>
        <w:tc>
          <w:tcPr>
            <w:tcW w:w="2114" w:type="dxa"/>
          </w:tcPr>
          <w:p w:rsidR="005226D1" w:rsidRPr="004C2769" w:rsidRDefault="005226D1" w:rsidP="008427DD">
            <w:pPr>
              <w:rPr>
                <w:rFonts w:cstheme="minorHAnsi"/>
                <w:b/>
                <w:lang w:val="en-US"/>
              </w:rPr>
            </w:pPr>
            <w:r w:rsidRPr="004C2769">
              <w:rPr>
                <w:rFonts w:cstheme="minorHAnsi"/>
                <w:b/>
                <w:lang w:val="en-US"/>
              </w:rPr>
              <w:t>Particulars</w:t>
            </w:r>
          </w:p>
        </w:tc>
        <w:tc>
          <w:tcPr>
            <w:tcW w:w="2176" w:type="dxa"/>
          </w:tcPr>
          <w:p w:rsidR="005226D1" w:rsidRPr="004C2769" w:rsidRDefault="005226D1" w:rsidP="00540BC3">
            <w:pPr>
              <w:jc w:val="both"/>
              <w:rPr>
                <w:rFonts w:cstheme="minorHAnsi"/>
                <w:b/>
                <w:bCs/>
              </w:rPr>
            </w:pPr>
            <w:r w:rsidRPr="004C2769">
              <w:rPr>
                <w:rFonts w:eastAsia="Calibri" w:cstheme="minorHAnsi"/>
                <w:b/>
                <w:bCs/>
              </w:rPr>
              <w:t xml:space="preserve">Approved by the Commission </w:t>
            </w:r>
            <w:r w:rsidRPr="004C2769">
              <w:rPr>
                <w:rFonts w:cstheme="minorHAnsi"/>
                <w:b/>
                <w:bCs/>
              </w:rPr>
              <w:t xml:space="preserve"> </w:t>
            </w:r>
          </w:p>
        </w:tc>
        <w:tc>
          <w:tcPr>
            <w:tcW w:w="1849" w:type="dxa"/>
          </w:tcPr>
          <w:p w:rsidR="005226D1" w:rsidRPr="004C2769" w:rsidRDefault="005226D1" w:rsidP="008427DD">
            <w:pPr>
              <w:jc w:val="both"/>
              <w:rPr>
                <w:rFonts w:eastAsia="Calibri" w:cstheme="minorHAnsi"/>
                <w:b/>
                <w:bCs/>
              </w:rPr>
            </w:pPr>
            <w:r w:rsidRPr="004C2769">
              <w:rPr>
                <w:rFonts w:eastAsia="Calibri" w:cstheme="minorHAnsi"/>
                <w:b/>
                <w:bCs/>
              </w:rPr>
              <w:t xml:space="preserve">Actuals furnished by EPDS </w:t>
            </w:r>
          </w:p>
          <w:p w:rsidR="005226D1" w:rsidRPr="004C2769" w:rsidRDefault="005226D1" w:rsidP="008427DD">
            <w:pPr>
              <w:rPr>
                <w:rFonts w:cstheme="minorHAnsi"/>
                <w:lang w:val="en-US"/>
              </w:rPr>
            </w:pPr>
          </w:p>
        </w:tc>
        <w:tc>
          <w:tcPr>
            <w:tcW w:w="1928" w:type="dxa"/>
          </w:tcPr>
          <w:p w:rsidR="005226D1" w:rsidRPr="004C2769" w:rsidRDefault="005226D1" w:rsidP="008427DD">
            <w:pPr>
              <w:rPr>
                <w:rFonts w:cstheme="minorHAnsi"/>
                <w:lang w:val="en-US"/>
              </w:rPr>
            </w:pPr>
            <w:r w:rsidRPr="004C2769">
              <w:rPr>
                <w:rFonts w:cstheme="minorHAnsi"/>
                <w:b/>
                <w:bCs/>
              </w:rPr>
              <w:t xml:space="preserve">Revised </w:t>
            </w:r>
            <w:r w:rsidRPr="004C2769">
              <w:rPr>
                <w:rFonts w:eastAsia="Calibri" w:cstheme="minorHAnsi"/>
                <w:b/>
                <w:bCs/>
              </w:rPr>
              <w:t xml:space="preserve">approved by Commission </w:t>
            </w:r>
            <w:r w:rsidRPr="004C2769">
              <w:rPr>
                <w:rFonts w:cstheme="minorHAnsi"/>
                <w:b/>
                <w:bCs/>
              </w:rPr>
              <w:t>after True Up</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Cost of Fuel</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0.32</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0.16</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0.16</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Cost of Power Purchase</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212.30</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176.65</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176.65</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Employee Costs</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79.03</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45.15</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45.15</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R&amp;M Expenses</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17.00</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33.93</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33.93</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5</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Admn &amp; Gen. Expenses</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3.71</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3.46</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3.46</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6</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Depreciation</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11.66</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33.99</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7.94</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7</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Int &amp; Fin Charges</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62.80</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8</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Int on W.C.</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3.46</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3.46</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9</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Return on Equity</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29.67</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10</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Total ARR</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324.02</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389.27</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270.75</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11</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Less: Non Tariff Income</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2.40</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0.62</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2.40</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12</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Net ARR</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321.62</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38.64</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268.35</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13</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Revenue from Tariff</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101.66</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102.54</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104.97</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14</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Revenue from outside sales</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33.57</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119.69</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119.69</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15</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Gap</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186.39</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166.42</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43.69</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16</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Energy sales within the state</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271.59</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241.19</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237.49</w:t>
            </w:r>
          </w:p>
        </w:tc>
      </w:tr>
      <w:tr w:rsidR="005226D1" w:rsidRPr="004C2769" w:rsidTr="008427DD">
        <w:tc>
          <w:tcPr>
            <w:tcW w:w="851"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17</w:t>
            </w:r>
          </w:p>
        </w:tc>
        <w:tc>
          <w:tcPr>
            <w:tcW w:w="2114" w:type="dxa"/>
          </w:tcPr>
          <w:p w:rsidR="005226D1" w:rsidRPr="004C2769" w:rsidRDefault="005226D1" w:rsidP="008427DD">
            <w:pPr>
              <w:jc w:val="both"/>
              <w:rPr>
                <w:rFonts w:eastAsia="Calibri" w:cstheme="minorHAnsi"/>
                <w:bCs/>
                <w:sz w:val="20"/>
              </w:rPr>
            </w:pPr>
            <w:r w:rsidRPr="004C2769">
              <w:rPr>
                <w:rFonts w:eastAsia="Calibri" w:cstheme="minorHAnsi"/>
                <w:bCs/>
                <w:sz w:val="20"/>
              </w:rPr>
              <w:t>Energy sales outside state</w:t>
            </w:r>
          </w:p>
        </w:tc>
        <w:tc>
          <w:tcPr>
            <w:tcW w:w="2176"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91.23</w:t>
            </w:r>
          </w:p>
        </w:tc>
        <w:tc>
          <w:tcPr>
            <w:tcW w:w="1849"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411.72</w:t>
            </w:r>
          </w:p>
        </w:tc>
        <w:tc>
          <w:tcPr>
            <w:tcW w:w="1928" w:type="dxa"/>
            <w:vAlign w:val="center"/>
          </w:tcPr>
          <w:p w:rsidR="005226D1" w:rsidRPr="004C2769" w:rsidRDefault="005226D1" w:rsidP="008427DD">
            <w:pPr>
              <w:jc w:val="both"/>
              <w:rPr>
                <w:rFonts w:eastAsia="Calibri" w:cstheme="minorHAnsi"/>
                <w:bCs/>
                <w:sz w:val="20"/>
              </w:rPr>
            </w:pPr>
            <w:r w:rsidRPr="004C2769">
              <w:rPr>
                <w:rFonts w:eastAsia="Calibri" w:cstheme="minorHAnsi"/>
                <w:bCs/>
                <w:sz w:val="20"/>
              </w:rPr>
              <w:t>411.72</w:t>
            </w:r>
          </w:p>
        </w:tc>
      </w:tr>
      <w:tr w:rsidR="005226D1" w:rsidRPr="004C2769" w:rsidTr="008427DD">
        <w:tc>
          <w:tcPr>
            <w:tcW w:w="851" w:type="dxa"/>
            <w:vAlign w:val="center"/>
          </w:tcPr>
          <w:p w:rsidR="005226D1" w:rsidRPr="004C2769" w:rsidRDefault="005226D1" w:rsidP="008427DD">
            <w:pPr>
              <w:jc w:val="both"/>
              <w:rPr>
                <w:rFonts w:eastAsia="Calibri" w:cstheme="minorHAnsi"/>
                <w:b/>
                <w:sz w:val="20"/>
              </w:rPr>
            </w:pPr>
            <w:r w:rsidRPr="004C2769">
              <w:rPr>
                <w:rFonts w:eastAsia="Calibri" w:cstheme="minorHAnsi"/>
                <w:b/>
                <w:sz w:val="20"/>
              </w:rPr>
              <w:t>18</w:t>
            </w:r>
          </w:p>
        </w:tc>
        <w:tc>
          <w:tcPr>
            <w:tcW w:w="2114" w:type="dxa"/>
          </w:tcPr>
          <w:p w:rsidR="005226D1" w:rsidRPr="004C2769" w:rsidRDefault="005226D1" w:rsidP="008427DD">
            <w:pPr>
              <w:jc w:val="both"/>
              <w:rPr>
                <w:rFonts w:eastAsia="Calibri" w:cstheme="minorHAnsi"/>
                <w:b/>
                <w:sz w:val="20"/>
              </w:rPr>
            </w:pPr>
            <w:r w:rsidRPr="004C2769">
              <w:rPr>
                <w:rFonts w:eastAsia="Calibri" w:cstheme="minorHAnsi"/>
                <w:b/>
                <w:sz w:val="20"/>
              </w:rPr>
              <w:t>Total Sales</w:t>
            </w:r>
          </w:p>
        </w:tc>
        <w:tc>
          <w:tcPr>
            <w:tcW w:w="2176" w:type="dxa"/>
            <w:vAlign w:val="center"/>
          </w:tcPr>
          <w:p w:rsidR="005226D1" w:rsidRPr="004C2769" w:rsidRDefault="005226D1" w:rsidP="008427DD">
            <w:pPr>
              <w:jc w:val="both"/>
              <w:rPr>
                <w:rFonts w:eastAsia="Calibri" w:cstheme="minorHAnsi"/>
                <w:b/>
                <w:sz w:val="20"/>
              </w:rPr>
            </w:pPr>
            <w:r w:rsidRPr="004C2769">
              <w:rPr>
                <w:rFonts w:eastAsia="Calibri" w:cstheme="minorHAnsi"/>
                <w:b/>
                <w:sz w:val="20"/>
              </w:rPr>
              <w:t>362.82</w:t>
            </w:r>
          </w:p>
        </w:tc>
        <w:tc>
          <w:tcPr>
            <w:tcW w:w="1849" w:type="dxa"/>
            <w:vAlign w:val="center"/>
          </w:tcPr>
          <w:p w:rsidR="005226D1" w:rsidRPr="004C2769" w:rsidRDefault="005226D1" w:rsidP="008427DD">
            <w:pPr>
              <w:jc w:val="both"/>
              <w:rPr>
                <w:rFonts w:eastAsia="Calibri" w:cstheme="minorHAnsi"/>
                <w:b/>
                <w:sz w:val="20"/>
              </w:rPr>
            </w:pPr>
            <w:r w:rsidRPr="004C2769">
              <w:rPr>
                <w:rFonts w:eastAsia="Calibri" w:cstheme="minorHAnsi"/>
                <w:b/>
                <w:sz w:val="20"/>
              </w:rPr>
              <w:t>652.91</w:t>
            </w:r>
          </w:p>
        </w:tc>
        <w:tc>
          <w:tcPr>
            <w:tcW w:w="1928" w:type="dxa"/>
            <w:vAlign w:val="center"/>
          </w:tcPr>
          <w:p w:rsidR="005226D1" w:rsidRPr="004C2769" w:rsidRDefault="005226D1" w:rsidP="008427DD">
            <w:pPr>
              <w:jc w:val="both"/>
              <w:rPr>
                <w:rFonts w:eastAsia="Calibri" w:cstheme="minorHAnsi"/>
                <w:b/>
                <w:sz w:val="20"/>
              </w:rPr>
            </w:pPr>
            <w:r w:rsidRPr="004C2769">
              <w:rPr>
                <w:rFonts w:eastAsia="Calibri" w:cstheme="minorHAnsi"/>
                <w:b/>
                <w:sz w:val="20"/>
              </w:rPr>
              <w:t>649.21</w:t>
            </w:r>
          </w:p>
        </w:tc>
      </w:tr>
    </w:tbl>
    <w:p w:rsidR="005226D1" w:rsidRPr="004C2769" w:rsidRDefault="005226D1" w:rsidP="005226D1">
      <w:pPr>
        <w:rPr>
          <w:rFonts w:cstheme="minorHAnsi"/>
          <w:lang w:val="en-US"/>
        </w:rPr>
      </w:pPr>
    </w:p>
    <w:p w:rsidR="00711515" w:rsidRPr="00B759AE" w:rsidRDefault="000942C0" w:rsidP="00B759AE">
      <w:pPr>
        <w:widowControl w:val="0"/>
        <w:autoSpaceDE w:val="0"/>
        <w:autoSpaceDN w:val="0"/>
        <w:adjustRightInd w:val="0"/>
        <w:spacing w:line="360" w:lineRule="auto"/>
        <w:ind w:left="720"/>
        <w:jc w:val="both"/>
        <w:rPr>
          <w:rFonts w:eastAsia="Calibri" w:cstheme="minorHAnsi"/>
          <w:b/>
          <w:bCs/>
          <w:spacing w:val="-1"/>
          <w:sz w:val="24"/>
          <w:szCs w:val="24"/>
        </w:rPr>
      </w:pPr>
      <w:r w:rsidRPr="004C2769">
        <w:rPr>
          <w:rFonts w:cstheme="minorHAnsi"/>
          <w:b/>
          <w:bCs/>
          <w:spacing w:val="-1"/>
          <w:sz w:val="24"/>
          <w:szCs w:val="24"/>
        </w:rPr>
        <w:lastRenderedPageBreak/>
        <w:t>Review for FY 2013-14 indicated</w:t>
      </w:r>
      <w:r w:rsidR="00D23471" w:rsidRPr="004C2769">
        <w:rPr>
          <w:rFonts w:eastAsia="Calibri" w:cstheme="minorHAnsi"/>
          <w:b/>
          <w:bCs/>
          <w:spacing w:val="-1"/>
          <w:sz w:val="24"/>
          <w:szCs w:val="24"/>
        </w:rPr>
        <w:t xml:space="preserve"> that the revenue gap has been reduced to Rs. 43.69 cr as against Rs. 186.39 crore approved in tariff order dated 30.03.2013 for F</w:t>
      </w:r>
      <w:r w:rsidRPr="004C2769">
        <w:rPr>
          <w:rFonts w:cstheme="minorHAnsi"/>
          <w:b/>
          <w:bCs/>
          <w:spacing w:val="-1"/>
          <w:sz w:val="24"/>
          <w:szCs w:val="24"/>
        </w:rPr>
        <w:t>.</w:t>
      </w:r>
      <w:r w:rsidR="00D23471" w:rsidRPr="004C2769">
        <w:rPr>
          <w:rFonts w:eastAsia="Calibri" w:cstheme="minorHAnsi"/>
          <w:b/>
          <w:bCs/>
          <w:spacing w:val="-1"/>
          <w:sz w:val="24"/>
          <w:szCs w:val="24"/>
        </w:rPr>
        <w:t>Y 2013-14.</w:t>
      </w:r>
    </w:p>
    <w:p w:rsidR="00745B2E" w:rsidRPr="004C2769" w:rsidRDefault="004538F8" w:rsidP="002A6A37">
      <w:pPr>
        <w:widowControl w:val="0"/>
        <w:autoSpaceDE w:val="0"/>
        <w:autoSpaceDN w:val="0"/>
        <w:adjustRightInd w:val="0"/>
        <w:spacing w:line="360" w:lineRule="auto"/>
        <w:ind w:left="720"/>
        <w:jc w:val="both"/>
        <w:rPr>
          <w:rFonts w:cstheme="minorHAnsi"/>
          <w:b/>
          <w:bCs/>
          <w:color w:val="FFFF00"/>
          <w:spacing w:val="-1"/>
          <w:sz w:val="24"/>
          <w:szCs w:val="24"/>
        </w:rPr>
      </w:pPr>
      <w:r w:rsidRPr="003E1206">
        <w:rPr>
          <w:rFonts w:cstheme="minorHAnsi"/>
          <w:b/>
          <w:bCs/>
          <w:spacing w:val="-1"/>
          <w:sz w:val="24"/>
          <w:szCs w:val="24"/>
        </w:rPr>
        <w:t>2.</w:t>
      </w:r>
      <w:r w:rsidR="003E1206">
        <w:rPr>
          <w:rFonts w:cstheme="minorHAnsi"/>
          <w:b/>
          <w:bCs/>
          <w:spacing w:val="-1"/>
          <w:sz w:val="24"/>
          <w:szCs w:val="24"/>
        </w:rPr>
        <w:t>7</w:t>
      </w:r>
      <w:r w:rsidRPr="003E1206">
        <w:rPr>
          <w:rFonts w:cstheme="minorHAnsi"/>
          <w:b/>
          <w:bCs/>
          <w:color w:val="FFFF00"/>
          <w:spacing w:val="-1"/>
          <w:sz w:val="24"/>
          <w:szCs w:val="24"/>
        </w:rPr>
        <w:t xml:space="preserve"> </w:t>
      </w:r>
      <w:r w:rsidR="00711515" w:rsidRPr="00D86288">
        <w:rPr>
          <w:rFonts w:cstheme="minorHAnsi"/>
          <w:b/>
          <w:bCs/>
          <w:color w:val="FFFF00"/>
          <w:spacing w:val="-1"/>
          <w:sz w:val="24"/>
          <w:szCs w:val="24"/>
          <w:highlight w:val="darkGreen"/>
        </w:rPr>
        <w:t>FRESH DIRECTIVES FOR F.Y 2014-15</w:t>
      </w:r>
    </w:p>
    <w:p w:rsidR="00711515" w:rsidRPr="004C2769" w:rsidRDefault="00745B2E" w:rsidP="002A6A37">
      <w:pPr>
        <w:widowControl w:val="0"/>
        <w:autoSpaceDE w:val="0"/>
        <w:autoSpaceDN w:val="0"/>
        <w:adjustRightInd w:val="0"/>
        <w:spacing w:line="360" w:lineRule="auto"/>
        <w:ind w:left="720"/>
        <w:jc w:val="both"/>
        <w:rPr>
          <w:rFonts w:cstheme="minorHAnsi"/>
          <w:b/>
          <w:bCs/>
          <w:color w:val="FFFF00"/>
          <w:spacing w:val="-1"/>
          <w:sz w:val="24"/>
          <w:szCs w:val="24"/>
        </w:rPr>
      </w:pPr>
      <w:r w:rsidRPr="004C2769">
        <w:rPr>
          <w:rFonts w:cstheme="minorHAnsi"/>
          <w:bCs/>
          <w:color w:val="000000" w:themeColor="text1"/>
          <w:spacing w:val="-1"/>
          <w:sz w:val="24"/>
          <w:szCs w:val="24"/>
        </w:rPr>
        <w:t xml:space="preserve">The Commission reviewed the compliance of the various directives issued to the Energy b&amp; Power Department in the past and </w:t>
      </w:r>
      <w:r w:rsidR="004C2769">
        <w:rPr>
          <w:rFonts w:cstheme="minorHAnsi"/>
          <w:bCs/>
          <w:color w:val="000000" w:themeColor="text1"/>
          <w:spacing w:val="-1"/>
          <w:sz w:val="24"/>
          <w:szCs w:val="24"/>
        </w:rPr>
        <w:t>issued the following fresh directives in the Tariff Order for F.Y 2014-15:</w:t>
      </w:r>
    </w:p>
    <w:p w:rsidR="00C14CC5" w:rsidRPr="00C6085F" w:rsidRDefault="00C14CC5" w:rsidP="00C14CC5">
      <w:pPr>
        <w:pStyle w:val="Default"/>
        <w:numPr>
          <w:ilvl w:val="0"/>
          <w:numId w:val="3"/>
        </w:numPr>
        <w:spacing w:line="360" w:lineRule="auto"/>
        <w:jc w:val="both"/>
        <w:rPr>
          <w:rFonts w:ascii="Calibri" w:hAnsi="Calibri" w:cs="Calibri"/>
          <w:b/>
          <w:bCs/>
        </w:rPr>
      </w:pPr>
      <w:r w:rsidRPr="004C2769">
        <w:rPr>
          <w:rFonts w:ascii="Calibri" w:hAnsi="Calibri" w:cs="Calibri"/>
          <w:b/>
          <w:bCs/>
        </w:rPr>
        <w:t>Management Information System (MIS)</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The EPDS has not maintained proper data in respect of sales (slab wise), with number of consumers and connected load / demand etc. for proper analysis of the past data based on actual and estimation of proper projections for consideration in the ARR. The EPDS is directed to take steps to build a credible and accurate data base and management information system (MIS) to meet the requirements for filing ARR &amp; Tariff Petition as per regulatory requirement. The formats, software and hardware may be synchronized with the Regulatory Information and Management System (RIMS) circulated by Central Electricity Regulatory Commission (CERC).</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ab/>
      </w:r>
    </w:p>
    <w:p w:rsidR="00B759AE" w:rsidRPr="00C6085F" w:rsidRDefault="00C14CC5" w:rsidP="00C6085F">
      <w:pPr>
        <w:pStyle w:val="Default"/>
        <w:numPr>
          <w:ilvl w:val="0"/>
          <w:numId w:val="3"/>
        </w:numPr>
        <w:spacing w:line="360" w:lineRule="auto"/>
        <w:jc w:val="both"/>
        <w:rPr>
          <w:rFonts w:ascii="Calibri" w:hAnsi="Calibri" w:cs="Calibri"/>
          <w:b/>
          <w:bCs/>
        </w:rPr>
      </w:pPr>
      <w:r w:rsidRPr="004C2769">
        <w:rPr>
          <w:rFonts w:ascii="Calibri" w:hAnsi="Calibri" w:cs="Calibri"/>
          <w:b/>
          <w:bCs/>
        </w:rPr>
        <w:t xml:space="preserve"> Replacement of Non-Functional / Defective Meters</w:t>
      </w:r>
    </w:p>
    <w:p w:rsidR="00C14CC5" w:rsidRPr="001214C2" w:rsidRDefault="00C14CC5" w:rsidP="001214C2">
      <w:pPr>
        <w:pStyle w:val="Default"/>
        <w:spacing w:line="360" w:lineRule="auto"/>
        <w:ind w:left="720"/>
        <w:jc w:val="both"/>
        <w:rPr>
          <w:rFonts w:ascii="Calibri" w:hAnsi="Calibri" w:cs="Calibri"/>
          <w:bCs/>
          <w:color w:val="auto"/>
        </w:rPr>
      </w:pPr>
      <w:r w:rsidRPr="004C2769">
        <w:rPr>
          <w:rFonts w:ascii="Calibri" w:hAnsi="Calibri" w:cs="Calibri"/>
          <w:bCs/>
        </w:rPr>
        <w:t xml:space="preserve">Section 55 of the Electricity Act makes it mandatory for all consumers to have a meter installed at the place of residence / office. EPDS must ensure that all households in the State be properly metered. EPDS may like to avail of the assistance of the Government Undertakings like State Trading Corporation Sikkim (STCS) and Sikkim State Cooperative Supply and Marketing Federation (SIMFED) for making </w:t>
      </w:r>
      <w:r w:rsidRPr="004C2769">
        <w:rPr>
          <w:rFonts w:ascii="Calibri" w:hAnsi="Calibri" w:cs="Calibri"/>
          <w:bCs/>
          <w:color w:val="auto"/>
        </w:rPr>
        <w:t xml:space="preserve">available standard meters that can be availed off by the consumers at a reasonable price. Metering is a pre-requisite for new service connection and EPDS is directed to complete 100% metering of consumers and shall ensure that no new service connections are provided unless metering is done. Installation of meter shall be a pre-requisite for any new service connection. </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The EPDS has submitted report on % of defective meters as follow:</w:t>
      </w:r>
    </w:p>
    <w:p w:rsidR="00C14CC5" w:rsidRPr="004C2769" w:rsidRDefault="00C14CC5" w:rsidP="00AD2EDD">
      <w:pPr>
        <w:pStyle w:val="Default"/>
        <w:spacing w:line="360" w:lineRule="auto"/>
        <w:ind w:left="720" w:firstLine="720"/>
        <w:jc w:val="both"/>
        <w:rPr>
          <w:rFonts w:ascii="Calibri" w:hAnsi="Calibri" w:cs="Calibri"/>
          <w:bCs/>
        </w:rPr>
      </w:pPr>
      <w:r w:rsidRPr="004C2769">
        <w:rPr>
          <w:rFonts w:ascii="Calibri" w:hAnsi="Calibri" w:cs="Calibri"/>
          <w:bCs/>
        </w:rPr>
        <w:t xml:space="preserve">Bulk Supply </w:t>
      </w:r>
      <w:r w:rsidRPr="004C2769">
        <w:rPr>
          <w:rFonts w:ascii="Calibri" w:hAnsi="Calibri" w:cs="Calibri"/>
          <w:bCs/>
        </w:rPr>
        <w:tab/>
      </w:r>
      <w:r w:rsidRPr="004C2769">
        <w:rPr>
          <w:rFonts w:ascii="Calibri" w:hAnsi="Calibri" w:cs="Calibri"/>
          <w:bCs/>
        </w:rPr>
        <w:tab/>
        <w:t>31.00%</w:t>
      </w:r>
    </w:p>
    <w:p w:rsidR="00C14CC5" w:rsidRPr="004C2769" w:rsidRDefault="00C14CC5" w:rsidP="00AD2EDD">
      <w:pPr>
        <w:pStyle w:val="Default"/>
        <w:spacing w:line="360" w:lineRule="auto"/>
        <w:ind w:left="720" w:firstLine="720"/>
        <w:jc w:val="both"/>
        <w:rPr>
          <w:rFonts w:ascii="Calibri" w:hAnsi="Calibri" w:cs="Calibri"/>
          <w:bCs/>
        </w:rPr>
      </w:pPr>
      <w:r w:rsidRPr="004C2769">
        <w:rPr>
          <w:rFonts w:ascii="Calibri" w:hAnsi="Calibri" w:cs="Calibri"/>
          <w:bCs/>
        </w:rPr>
        <w:t>HTS</w:t>
      </w:r>
      <w:r w:rsidRPr="004C2769">
        <w:rPr>
          <w:rFonts w:ascii="Calibri" w:hAnsi="Calibri" w:cs="Calibri"/>
          <w:bCs/>
        </w:rPr>
        <w:tab/>
      </w:r>
      <w:r w:rsidRPr="004C2769">
        <w:rPr>
          <w:rFonts w:ascii="Calibri" w:hAnsi="Calibri" w:cs="Calibri"/>
          <w:bCs/>
        </w:rPr>
        <w:tab/>
      </w:r>
      <w:r w:rsidRPr="004C2769">
        <w:rPr>
          <w:rFonts w:ascii="Calibri" w:hAnsi="Calibri" w:cs="Calibri"/>
          <w:bCs/>
        </w:rPr>
        <w:tab/>
        <w:t>7.23%</w:t>
      </w:r>
    </w:p>
    <w:p w:rsidR="00C14CC5" w:rsidRPr="004C2769" w:rsidRDefault="00C14CC5" w:rsidP="00AD2EDD">
      <w:pPr>
        <w:pStyle w:val="Default"/>
        <w:spacing w:line="360" w:lineRule="auto"/>
        <w:ind w:left="720" w:firstLine="720"/>
        <w:jc w:val="both"/>
        <w:rPr>
          <w:rFonts w:ascii="Calibri" w:hAnsi="Calibri" w:cs="Calibri"/>
          <w:bCs/>
        </w:rPr>
      </w:pPr>
      <w:r w:rsidRPr="004C2769">
        <w:rPr>
          <w:rFonts w:ascii="Calibri" w:hAnsi="Calibri" w:cs="Calibri"/>
          <w:bCs/>
        </w:rPr>
        <w:lastRenderedPageBreak/>
        <w:t>LTIS</w:t>
      </w:r>
      <w:r w:rsidRPr="004C2769">
        <w:rPr>
          <w:rFonts w:ascii="Calibri" w:hAnsi="Calibri" w:cs="Calibri"/>
          <w:bCs/>
        </w:rPr>
        <w:tab/>
      </w:r>
      <w:r w:rsidRPr="004C2769">
        <w:rPr>
          <w:rFonts w:ascii="Calibri" w:hAnsi="Calibri" w:cs="Calibri"/>
          <w:bCs/>
        </w:rPr>
        <w:tab/>
      </w:r>
      <w:r w:rsidRPr="004C2769">
        <w:rPr>
          <w:rFonts w:ascii="Calibri" w:hAnsi="Calibri" w:cs="Calibri"/>
          <w:bCs/>
        </w:rPr>
        <w:tab/>
        <w:t>13.11%</w:t>
      </w:r>
    </w:p>
    <w:p w:rsidR="00C14CC5" w:rsidRPr="004C2769" w:rsidRDefault="00C14CC5" w:rsidP="00AD2EDD">
      <w:pPr>
        <w:pStyle w:val="Default"/>
        <w:spacing w:line="360" w:lineRule="auto"/>
        <w:ind w:left="720" w:firstLine="720"/>
        <w:jc w:val="both"/>
        <w:rPr>
          <w:rFonts w:ascii="Calibri" w:hAnsi="Calibri" w:cs="Calibri"/>
          <w:bCs/>
        </w:rPr>
      </w:pPr>
      <w:r w:rsidRPr="004C2769">
        <w:rPr>
          <w:rFonts w:ascii="Calibri" w:hAnsi="Calibri" w:cs="Calibri"/>
          <w:bCs/>
        </w:rPr>
        <w:t xml:space="preserve">Commercial </w:t>
      </w:r>
      <w:r w:rsidRPr="004C2769">
        <w:rPr>
          <w:rFonts w:ascii="Calibri" w:hAnsi="Calibri" w:cs="Calibri"/>
          <w:bCs/>
        </w:rPr>
        <w:tab/>
      </w:r>
      <w:r w:rsidRPr="004C2769">
        <w:rPr>
          <w:rFonts w:ascii="Calibri" w:hAnsi="Calibri" w:cs="Calibri"/>
          <w:bCs/>
        </w:rPr>
        <w:tab/>
        <w:t>11.08%</w:t>
      </w:r>
    </w:p>
    <w:p w:rsidR="00C14CC5" w:rsidRPr="004C2769" w:rsidRDefault="00C14CC5" w:rsidP="00AD2EDD">
      <w:pPr>
        <w:pStyle w:val="Default"/>
        <w:spacing w:line="360" w:lineRule="auto"/>
        <w:ind w:left="720" w:firstLine="720"/>
        <w:jc w:val="both"/>
        <w:rPr>
          <w:rFonts w:ascii="Calibri" w:hAnsi="Calibri" w:cs="Calibri"/>
          <w:bCs/>
        </w:rPr>
      </w:pPr>
      <w:r w:rsidRPr="004C2769">
        <w:rPr>
          <w:rFonts w:ascii="Calibri" w:hAnsi="Calibri" w:cs="Calibri"/>
          <w:bCs/>
        </w:rPr>
        <w:t>Domestic</w:t>
      </w:r>
      <w:r w:rsidRPr="004C2769">
        <w:rPr>
          <w:rFonts w:ascii="Calibri" w:hAnsi="Calibri" w:cs="Calibri"/>
          <w:bCs/>
        </w:rPr>
        <w:tab/>
      </w:r>
      <w:r w:rsidRPr="004C2769">
        <w:rPr>
          <w:rFonts w:ascii="Calibri" w:hAnsi="Calibri" w:cs="Calibri"/>
          <w:bCs/>
        </w:rPr>
        <w:tab/>
        <w:t>20.42%</w:t>
      </w:r>
    </w:p>
    <w:p w:rsidR="00C14CC5" w:rsidRPr="004C2769" w:rsidRDefault="00C14CC5" w:rsidP="00C14CC5">
      <w:pPr>
        <w:pStyle w:val="Default"/>
        <w:spacing w:line="360" w:lineRule="auto"/>
        <w:ind w:left="720"/>
        <w:jc w:val="both"/>
        <w:rPr>
          <w:rFonts w:ascii="Calibri" w:hAnsi="Calibri" w:cs="Calibri"/>
          <w:bCs/>
        </w:rPr>
      </w:pP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The situation is quite alarming. Latest information of non-functional meters may be obtained from the field offices and ensure that data is maintained correctly.</w:t>
      </w:r>
    </w:p>
    <w:p w:rsidR="00C14CC5" w:rsidRPr="004C2769" w:rsidRDefault="00C14CC5" w:rsidP="00C14CC5">
      <w:pPr>
        <w:pStyle w:val="Default"/>
        <w:ind w:left="720"/>
        <w:jc w:val="both"/>
        <w:rPr>
          <w:rFonts w:ascii="Calibri" w:hAnsi="Calibri" w:cs="Calibri"/>
          <w:bCs/>
        </w:rPr>
      </w:pPr>
    </w:p>
    <w:p w:rsidR="004538F8" w:rsidRPr="00AD2EDD" w:rsidRDefault="00C14CC5" w:rsidP="00AD2EDD">
      <w:pPr>
        <w:pStyle w:val="Default"/>
        <w:spacing w:line="360" w:lineRule="auto"/>
        <w:ind w:left="720"/>
        <w:jc w:val="both"/>
        <w:rPr>
          <w:rFonts w:ascii="Calibri" w:hAnsi="Calibri" w:cs="Calibri"/>
          <w:bCs/>
        </w:rPr>
      </w:pPr>
      <w:r w:rsidRPr="004C2769">
        <w:rPr>
          <w:rFonts w:ascii="Calibri" w:hAnsi="Calibri" w:cs="Calibri"/>
          <w:bCs/>
        </w:rPr>
        <w:t>Replacement of meters shall be planned on priority wise i.e., meters of Bulk supply, commercial, industrial and high value domestic categories to be replaced on priority. In respect of defective meters billing may be done by adopting standard method. The Data on defective meters, replacement, and pendency shall be filed with the next petition.</w:t>
      </w:r>
    </w:p>
    <w:p w:rsidR="0093774A" w:rsidRPr="004C2769" w:rsidRDefault="0093774A" w:rsidP="00C14CC5">
      <w:pPr>
        <w:pStyle w:val="Default"/>
        <w:jc w:val="both"/>
        <w:rPr>
          <w:rFonts w:ascii="Calibri" w:hAnsi="Calibri" w:cs="Calibri"/>
          <w:b/>
          <w:bCs/>
        </w:rPr>
      </w:pPr>
    </w:p>
    <w:p w:rsidR="00B759AE" w:rsidRPr="00B759AE" w:rsidRDefault="00C14CC5" w:rsidP="00B759AE">
      <w:pPr>
        <w:pStyle w:val="Default"/>
        <w:numPr>
          <w:ilvl w:val="0"/>
          <w:numId w:val="3"/>
        </w:numPr>
        <w:spacing w:line="360" w:lineRule="auto"/>
        <w:jc w:val="both"/>
        <w:rPr>
          <w:rFonts w:ascii="Calibri" w:hAnsi="Calibri" w:cs="Calibri"/>
          <w:b/>
          <w:bCs/>
        </w:rPr>
      </w:pPr>
      <w:r w:rsidRPr="004C2769">
        <w:rPr>
          <w:rFonts w:ascii="Calibri" w:hAnsi="Calibri" w:cs="Calibri"/>
          <w:b/>
          <w:bCs/>
        </w:rPr>
        <w:t>Consumer Contribution for Capital Investment</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The fact of consumer contribution for capital investment is not brought out in the ARR and Tariff Petition.</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The EPDS is directed to furnish the details of contributions being collected from consumers for capital works. The amounts collected from the consumers towards capital investment shall be brought out in the accounts. The depreciation and Return on Equity/ Capital Base should not be claimed on the amount contributed by the consumers towards capital investment.</w:t>
      </w:r>
    </w:p>
    <w:p w:rsidR="0093774A" w:rsidRPr="004C2769" w:rsidRDefault="0093774A" w:rsidP="00B759AE">
      <w:pPr>
        <w:pStyle w:val="Default"/>
        <w:contextualSpacing/>
        <w:jc w:val="both"/>
        <w:rPr>
          <w:rFonts w:ascii="Calibri" w:hAnsi="Calibri" w:cs="Calibri"/>
          <w:bCs/>
        </w:rPr>
      </w:pPr>
    </w:p>
    <w:p w:rsidR="00C14CC5" w:rsidRPr="004C2769" w:rsidRDefault="00C14CC5" w:rsidP="00C14CC5">
      <w:pPr>
        <w:pStyle w:val="Default"/>
        <w:numPr>
          <w:ilvl w:val="0"/>
          <w:numId w:val="3"/>
        </w:numPr>
        <w:spacing w:line="360" w:lineRule="auto"/>
        <w:jc w:val="both"/>
        <w:rPr>
          <w:rFonts w:ascii="Calibri" w:hAnsi="Calibri" w:cs="Calibri"/>
          <w:b/>
          <w:bCs/>
        </w:rPr>
      </w:pPr>
      <w:r w:rsidRPr="004C2769">
        <w:rPr>
          <w:rFonts w:ascii="Calibri" w:hAnsi="Calibri" w:cs="Calibri"/>
          <w:b/>
          <w:bCs/>
        </w:rPr>
        <w:t xml:space="preserve"> Investment Plan and approval of Capital Expenditure</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Annual Investment Plan shall be submitted to the Commission and approval of Commission should be obtained for all major capital works costing Rs. 5.00 crore and above before execution of the works.</w:t>
      </w:r>
    </w:p>
    <w:p w:rsidR="0093774A" w:rsidRPr="004C2769" w:rsidRDefault="0093774A" w:rsidP="00B759AE">
      <w:pPr>
        <w:pStyle w:val="Default"/>
        <w:jc w:val="both"/>
        <w:rPr>
          <w:rFonts w:ascii="Calibri" w:hAnsi="Calibri" w:cs="Calibri"/>
          <w:bCs/>
        </w:rPr>
      </w:pPr>
    </w:p>
    <w:p w:rsidR="0093774A" w:rsidRPr="00B759AE" w:rsidRDefault="00C14CC5" w:rsidP="00B759AE">
      <w:pPr>
        <w:pStyle w:val="Default"/>
        <w:numPr>
          <w:ilvl w:val="0"/>
          <w:numId w:val="3"/>
        </w:numPr>
        <w:spacing w:line="360" w:lineRule="auto"/>
        <w:jc w:val="both"/>
        <w:rPr>
          <w:rFonts w:ascii="Calibri" w:hAnsi="Calibri" w:cs="Calibri"/>
          <w:b/>
          <w:bCs/>
        </w:rPr>
      </w:pPr>
      <w:r w:rsidRPr="004C2769">
        <w:rPr>
          <w:rFonts w:ascii="Calibri" w:hAnsi="Calibri" w:cs="Calibri"/>
          <w:b/>
          <w:bCs/>
        </w:rPr>
        <w:t xml:space="preserve"> Interest on Consumer Security Deposit</w:t>
      </w:r>
    </w:p>
    <w:p w:rsidR="00C14CC5" w:rsidRPr="004C2769" w:rsidRDefault="00C14CC5" w:rsidP="00C14CC5">
      <w:pPr>
        <w:pStyle w:val="Default"/>
        <w:spacing w:line="360" w:lineRule="auto"/>
        <w:ind w:left="720"/>
        <w:jc w:val="both"/>
        <w:rPr>
          <w:rFonts w:ascii="Calibri" w:hAnsi="Calibri" w:cs="Calibri"/>
          <w:bCs/>
        </w:rPr>
      </w:pPr>
      <w:r w:rsidRPr="004C2769">
        <w:rPr>
          <w:rFonts w:ascii="Calibri" w:hAnsi="Calibri" w:cs="Calibri"/>
          <w:bCs/>
        </w:rPr>
        <w:t xml:space="preserve">EPDS did not indicate the amount of security deposit collected from the consumers. EPDS is informed that as per section 47 (4) of IE Act 2003, the distribution licensee shall pay interest equivalent to bank rate or more as may be specified by the concerned state Commission on the consumer security deposit. </w:t>
      </w:r>
    </w:p>
    <w:p w:rsidR="00C14CC5" w:rsidRPr="004C2769" w:rsidRDefault="00C14CC5" w:rsidP="00C14CC5">
      <w:pPr>
        <w:pStyle w:val="Default"/>
        <w:spacing w:line="360" w:lineRule="auto"/>
        <w:ind w:left="720"/>
        <w:jc w:val="both"/>
        <w:rPr>
          <w:rFonts w:ascii="Calibri" w:hAnsi="Calibri" w:cs="Calibri"/>
          <w:bCs/>
        </w:rPr>
      </w:pPr>
    </w:p>
    <w:p w:rsidR="00AD2EDD" w:rsidRDefault="00C14CC5" w:rsidP="00C6085F">
      <w:pPr>
        <w:pStyle w:val="Default"/>
        <w:spacing w:line="360" w:lineRule="auto"/>
        <w:ind w:left="720"/>
        <w:jc w:val="both"/>
        <w:rPr>
          <w:rFonts w:ascii="Calibri" w:hAnsi="Calibri" w:cs="Calibri"/>
          <w:bCs/>
        </w:rPr>
      </w:pPr>
      <w:r w:rsidRPr="004C2769">
        <w:rPr>
          <w:rFonts w:ascii="Calibri" w:hAnsi="Calibri" w:cs="Calibri"/>
          <w:bCs/>
        </w:rPr>
        <w:lastRenderedPageBreak/>
        <w:t>EPDS is therefore directed to maintain an account of the consumer-wise security deposit collected. Such data shall be furnished with the next filing invariably.</w:t>
      </w:r>
    </w:p>
    <w:p w:rsidR="008621BB" w:rsidRPr="004C2769" w:rsidRDefault="008621BB" w:rsidP="00C6085F">
      <w:pPr>
        <w:pStyle w:val="Default"/>
        <w:spacing w:line="360" w:lineRule="auto"/>
        <w:ind w:left="720"/>
        <w:jc w:val="both"/>
        <w:rPr>
          <w:rFonts w:ascii="Calibri" w:hAnsi="Calibri" w:cs="Calibri"/>
          <w:bCs/>
        </w:rPr>
      </w:pPr>
    </w:p>
    <w:p w:rsidR="00AD2EDD" w:rsidRPr="00B759AE" w:rsidRDefault="00C14CC5" w:rsidP="00B759AE">
      <w:pPr>
        <w:pStyle w:val="Default"/>
        <w:numPr>
          <w:ilvl w:val="0"/>
          <w:numId w:val="3"/>
        </w:numPr>
        <w:spacing w:line="360" w:lineRule="auto"/>
        <w:jc w:val="both"/>
        <w:rPr>
          <w:rFonts w:ascii="Calibri" w:hAnsi="Calibri" w:cs="Calibri"/>
          <w:b/>
          <w:bCs/>
          <w:color w:val="auto"/>
        </w:rPr>
      </w:pPr>
      <w:r w:rsidRPr="004C2769">
        <w:rPr>
          <w:rFonts w:ascii="Calibri" w:hAnsi="Calibri" w:cs="Calibri"/>
          <w:b/>
          <w:bCs/>
          <w:color w:val="auto"/>
        </w:rPr>
        <w:t xml:space="preserve"> Consumer Awareness/Sensitization</w:t>
      </w:r>
    </w:p>
    <w:p w:rsidR="00C14CC5" w:rsidRPr="004C2769" w:rsidRDefault="00C14CC5" w:rsidP="00C14CC5">
      <w:pPr>
        <w:pStyle w:val="Default"/>
        <w:spacing w:line="360" w:lineRule="auto"/>
        <w:ind w:left="720"/>
        <w:jc w:val="both"/>
        <w:rPr>
          <w:rFonts w:ascii="Calibri" w:hAnsi="Calibri" w:cs="Calibri"/>
          <w:bCs/>
          <w:color w:val="auto"/>
        </w:rPr>
      </w:pPr>
      <w:r w:rsidRPr="004C2769">
        <w:rPr>
          <w:rFonts w:ascii="Calibri" w:hAnsi="Calibri" w:cs="Calibri"/>
          <w:bCs/>
          <w:color w:val="auto"/>
        </w:rPr>
        <w:t>EPDS is directed to carry out “Consumer Awareness /Sensitization” campaigns so as to educate the consumers and the general Public on the various initiatives and subsidies announced by the government and manner of obtaining these benefits.</w:t>
      </w:r>
    </w:p>
    <w:p w:rsidR="00C14CC5" w:rsidRPr="004C2769" w:rsidRDefault="00C14CC5" w:rsidP="00C14CC5">
      <w:pPr>
        <w:pStyle w:val="Default"/>
        <w:ind w:left="720"/>
        <w:contextualSpacing/>
        <w:jc w:val="both"/>
        <w:rPr>
          <w:rFonts w:ascii="Calibri" w:hAnsi="Calibri" w:cs="Calibri"/>
          <w:bCs/>
          <w:color w:val="auto"/>
        </w:rPr>
      </w:pPr>
    </w:p>
    <w:p w:rsidR="00C14CC5" w:rsidRPr="004C2769" w:rsidRDefault="00C14CC5" w:rsidP="00C14CC5">
      <w:pPr>
        <w:pStyle w:val="Default"/>
        <w:spacing w:line="360" w:lineRule="auto"/>
        <w:ind w:left="720"/>
        <w:jc w:val="both"/>
        <w:rPr>
          <w:rFonts w:ascii="Calibri" w:hAnsi="Calibri" w:cs="Calibri"/>
          <w:bCs/>
          <w:color w:val="auto"/>
        </w:rPr>
      </w:pPr>
      <w:r w:rsidRPr="004C2769">
        <w:rPr>
          <w:rFonts w:ascii="Calibri" w:hAnsi="Calibri" w:cs="Calibri"/>
          <w:bCs/>
          <w:color w:val="auto"/>
        </w:rPr>
        <w:t>EPDS is also directed to create awareness and sensitize its employees on the need to be fully aware of various acts, rules &amp; regulations, safety practices etc., EPDS may consider imparting trainings, arranging workshops etc., for its employees.</w:t>
      </w:r>
    </w:p>
    <w:p w:rsidR="00C14CC5" w:rsidRPr="004C2769" w:rsidRDefault="00C14CC5" w:rsidP="00C14CC5">
      <w:pPr>
        <w:pStyle w:val="Default"/>
        <w:ind w:left="720"/>
        <w:contextualSpacing/>
        <w:jc w:val="both"/>
        <w:rPr>
          <w:rFonts w:ascii="Calibri" w:hAnsi="Calibri" w:cs="Calibri"/>
          <w:bCs/>
          <w:color w:val="auto"/>
        </w:rPr>
      </w:pPr>
    </w:p>
    <w:p w:rsidR="00AD2EDD" w:rsidRPr="00B759AE" w:rsidRDefault="00C14CC5" w:rsidP="00B759AE">
      <w:pPr>
        <w:pStyle w:val="Default"/>
        <w:numPr>
          <w:ilvl w:val="0"/>
          <w:numId w:val="3"/>
        </w:numPr>
        <w:spacing w:line="360" w:lineRule="auto"/>
        <w:jc w:val="both"/>
        <w:rPr>
          <w:rFonts w:ascii="Calibri" w:hAnsi="Calibri" w:cs="Calibri"/>
          <w:b/>
          <w:bCs/>
          <w:color w:val="auto"/>
        </w:rPr>
      </w:pPr>
      <w:r w:rsidRPr="004C2769">
        <w:rPr>
          <w:rFonts w:ascii="Calibri" w:hAnsi="Calibri" w:cs="Calibri"/>
          <w:b/>
          <w:bCs/>
          <w:color w:val="auto"/>
        </w:rPr>
        <w:t xml:space="preserve"> Power Sector Reforms</w:t>
      </w:r>
    </w:p>
    <w:p w:rsidR="00C14CC5" w:rsidRPr="004C2769" w:rsidRDefault="00C14CC5" w:rsidP="00C14CC5">
      <w:pPr>
        <w:pStyle w:val="Default"/>
        <w:spacing w:line="360" w:lineRule="auto"/>
        <w:ind w:left="720"/>
        <w:jc w:val="both"/>
        <w:rPr>
          <w:rFonts w:ascii="Calibri" w:hAnsi="Calibri" w:cs="Calibri"/>
          <w:bCs/>
          <w:color w:val="auto"/>
        </w:rPr>
      </w:pPr>
      <w:r w:rsidRPr="004C2769">
        <w:rPr>
          <w:rFonts w:ascii="Calibri" w:hAnsi="Calibri" w:cs="Calibri"/>
          <w:bCs/>
          <w:color w:val="auto"/>
        </w:rPr>
        <w:t>Reforms in the Energy sector is absolutely necessary to overhaul the Energy sector to make it more vibrant and commercially viable in view of the huge Hydro power potential in the State. As part of the reforms envisaged the State Government will have to reconsider seriously the huge monopolistic role of the EPDS in the generation, transmission and distribution of electricity in the State. Most of the States have already initiated the process of unbundling their Energy / Power Departments/SEBs into separate corporate entities covering generation, transmission and distribution, even going to the extent of utilizing the private</w:t>
      </w:r>
      <w:r w:rsidRPr="004C2769">
        <w:rPr>
          <w:rFonts w:ascii="Calibri" w:hAnsi="Calibri" w:cs="Calibri"/>
          <w:b/>
          <w:bCs/>
          <w:color w:val="FF0000"/>
        </w:rPr>
        <w:t xml:space="preserve"> </w:t>
      </w:r>
      <w:r w:rsidRPr="004C2769">
        <w:rPr>
          <w:rFonts w:ascii="Calibri" w:hAnsi="Calibri" w:cs="Calibri"/>
          <w:bCs/>
          <w:color w:val="auto"/>
        </w:rPr>
        <w:t>sector in the distribution of power. This is an important aspect that the State Government will have look at in order to ensure that the Power sector lives up to its expectation of becoming the State’s main revenue earner.</w:t>
      </w:r>
    </w:p>
    <w:p w:rsidR="00C14CC5" w:rsidRPr="004C2769" w:rsidRDefault="00C14CC5" w:rsidP="00C14CC5">
      <w:pPr>
        <w:pStyle w:val="Default"/>
        <w:spacing w:line="360" w:lineRule="auto"/>
        <w:ind w:left="720"/>
        <w:jc w:val="both"/>
        <w:rPr>
          <w:rFonts w:ascii="Calibri" w:hAnsi="Calibri" w:cs="Calibri"/>
          <w:bCs/>
          <w:color w:val="auto"/>
        </w:rPr>
      </w:pPr>
    </w:p>
    <w:p w:rsidR="00711515" w:rsidRDefault="00C14CC5" w:rsidP="00923378">
      <w:pPr>
        <w:pStyle w:val="Default"/>
        <w:spacing w:line="360" w:lineRule="auto"/>
        <w:ind w:left="720"/>
        <w:jc w:val="both"/>
        <w:rPr>
          <w:rFonts w:asciiTheme="minorHAnsi" w:hAnsiTheme="minorHAnsi" w:cstheme="minorHAnsi"/>
          <w:bCs/>
          <w:color w:val="auto"/>
        </w:rPr>
      </w:pPr>
      <w:r w:rsidRPr="004C2769">
        <w:rPr>
          <w:rFonts w:ascii="Calibri" w:hAnsi="Calibri" w:cs="Calibri"/>
          <w:bCs/>
          <w:color w:val="auto"/>
        </w:rPr>
        <w:t>In addition the EPDS needs to examine and review the milestones agreed upon in the Memorandum of Understanding (MOU) signed with the Ministry of Power in December 2002 by the Government of Sikkim which have not been fully achieved. Necessary steps and actions need to be taken for achieving the target and commitment for implementation of reforms program</w:t>
      </w:r>
      <w:r w:rsidR="001A2AB0">
        <w:rPr>
          <w:rFonts w:asciiTheme="minorHAnsi" w:hAnsiTheme="minorHAnsi" w:cstheme="minorHAnsi"/>
          <w:bCs/>
          <w:color w:val="auto"/>
        </w:rPr>
        <w:t xml:space="preserve"> in the power sector.</w:t>
      </w:r>
    </w:p>
    <w:p w:rsidR="00C6085F" w:rsidRDefault="00C6085F" w:rsidP="00421E77">
      <w:pPr>
        <w:pStyle w:val="Default"/>
        <w:spacing w:line="360" w:lineRule="auto"/>
        <w:jc w:val="both"/>
        <w:rPr>
          <w:rFonts w:asciiTheme="minorHAnsi" w:hAnsiTheme="minorHAnsi" w:cstheme="minorHAnsi"/>
          <w:bCs/>
          <w:color w:val="auto"/>
        </w:rPr>
      </w:pPr>
    </w:p>
    <w:p w:rsidR="008621BB" w:rsidRPr="00923378" w:rsidRDefault="008621BB" w:rsidP="00421E77">
      <w:pPr>
        <w:pStyle w:val="Default"/>
        <w:spacing w:line="360" w:lineRule="auto"/>
        <w:jc w:val="both"/>
        <w:rPr>
          <w:rFonts w:asciiTheme="minorHAnsi" w:hAnsiTheme="minorHAnsi" w:cstheme="minorHAnsi"/>
          <w:bCs/>
          <w:color w:val="auto"/>
        </w:rPr>
      </w:pPr>
    </w:p>
    <w:p w:rsidR="002A6A37" w:rsidRPr="004C2769" w:rsidRDefault="004538F8" w:rsidP="002A6A37">
      <w:pPr>
        <w:ind w:left="720"/>
        <w:jc w:val="both"/>
        <w:rPr>
          <w:rFonts w:cstheme="minorHAnsi"/>
          <w:b/>
          <w:sz w:val="24"/>
          <w:szCs w:val="24"/>
        </w:rPr>
      </w:pPr>
      <w:r w:rsidRPr="003E1206">
        <w:rPr>
          <w:rFonts w:cstheme="minorHAnsi"/>
          <w:b/>
          <w:sz w:val="24"/>
          <w:szCs w:val="24"/>
        </w:rPr>
        <w:lastRenderedPageBreak/>
        <w:t>2.</w:t>
      </w:r>
      <w:r w:rsidR="003E1206">
        <w:rPr>
          <w:rFonts w:cstheme="minorHAnsi"/>
          <w:b/>
          <w:sz w:val="24"/>
          <w:szCs w:val="24"/>
        </w:rPr>
        <w:t>8</w:t>
      </w:r>
      <w:r w:rsidRPr="003E1206">
        <w:rPr>
          <w:rFonts w:cstheme="minorHAnsi"/>
          <w:b/>
          <w:color w:val="FFFF00"/>
          <w:sz w:val="24"/>
          <w:szCs w:val="24"/>
        </w:rPr>
        <w:t xml:space="preserve"> </w:t>
      </w:r>
      <w:r w:rsidR="002A6A37" w:rsidRPr="00D86288">
        <w:rPr>
          <w:rFonts w:cstheme="minorHAnsi"/>
          <w:b/>
          <w:color w:val="FFFF00"/>
          <w:sz w:val="24"/>
          <w:szCs w:val="24"/>
          <w:highlight w:val="darkGreen"/>
        </w:rPr>
        <w:t xml:space="preserve">RE-CONSTITUTION OF THE STATE ADVISORY COMMITTEE </w:t>
      </w:r>
    </w:p>
    <w:p w:rsidR="002A6A37" w:rsidRPr="004C2769" w:rsidRDefault="00E77D89" w:rsidP="00945113">
      <w:pPr>
        <w:spacing w:line="240" w:lineRule="auto"/>
        <w:ind w:left="720"/>
        <w:contextualSpacing/>
        <w:jc w:val="both"/>
        <w:rPr>
          <w:rFonts w:cstheme="minorHAnsi"/>
          <w:sz w:val="24"/>
          <w:szCs w:val="24"/>
        </w:rPr>
      </w:pPr>
      <w:r w:rsidRPr="004C2769">
        <w:rPr>
          <w:rFonts w:cstheme="minorHAnsi"/>
          <w:sz w:val="24"/>
          <w:szCs w:val="24"/>
        </w:rPr>
        <w:t xml:space="preserve">The Commission re-constituted the State Advisory Committee (SAC)  in view of the resignation of one of the Members of the Committee Shri. K.C Pradhan, IAS (Retd.). The notification </w:t>
      </w:r>
      <w:r w:rsidR="00945113" w:rsidRPr="004C2769">
        <w:rPr>
          <w:rFonts w:cstheme="minorHAnsi"/>
          <w:sz w:val="24"/>
          <w:szCs w:val="24"/>
        </w:rPr>
        <w:t xml:space="preserve">for </w:t>
      </w:r>
      <w:r w:rsidRPr="004C2769">
        <w:rPr>
          <w:rFonts w:cstheme="minorHAnsi"/>
          <w:sz w:val="24"/>
          <w:szCs w:val="24"/>
        </w:rPr>
        <w:t xml:space="preserve"> re-constituting the SAC by inducting one new Member Shri.K.N.Bhutia, IAS (Retd.) was issued by the Commission vide Notification No.</w:t>
      </w:r>
      <w:r w:rsidR="00945113" w:rsidRPr="004C2769">
        <w:rPr>
          <w:rFonts w:cstheme="minorHAnsi"/>
          <w:b/>
          <w:sz w:val="24"/>
          <w:szCs w:val="24"/>
        </w:rPr>
        <w:t xml:space="preserve"> </w:t>
      </w:r>
      <w:r w:rsidR="00945113" w:rsidRPr="004C2769">
        <w:rPr>
          <w:rFonts w:cstheme="minorHAnsi"/>
          <w:sz w:val="24"/>
          <w:szCs w:val="24"/>
        </w:rPr>
        <w:t>02/SSERC/AC/2013-14/09  Dated 02.06.2014.</w:t>
      </w:r>
      <w:r w:rsidR="002A6A37" w:rsidRPr="004C2769">
        <w:rPr>
          <w:rFonts w:cstheme="minorHAnsi"/>
          <w:sz w:val="24"/>
          <w:szCs w:val="24"/>
        </w:rPr>
        <w:t>The details of the Chairperson and the Members of the Committee are as indicated below:</w:t>
      </w:r>
    </w:p>
    <w:p w:rsidR="002A6A37" w:rsidRPr="004C2769" w:rsidRDefault="002A6A37" w:rsidP="002A6A37">
      <w:pPr>
        <w:pStyle w:val="ListParagraph"/>
        <w:numPr>
          <w:ilvl w:val="0"/>
          <w:numId w:val="1"/>
        </w:numPr>
        <w:jc w:val="both"/>
        <w:rPr>
          <w:rFonts w:cstheme="minorHAnsi"/>
          <w:sz w:val="24"/>
          <w:szCs w:val="24"/>
        </w:rPr>
      </w:pPr>
      <w:r w:rsidRPr="004C2769">
        <w:rPr>
          <w:rFonts w:cstheme="minorHAnsi"/>
          <w:sz w:val="24"/>
          <w:szCs w:val="24"/>
        </w:rPr>
        <w:t xml:space="preserve">Shri. T.T. Dorji, IAS (Retd.) Chairperson of SSERC......Ex-Officio Chairperson </w:t>
      </w:r>
    </w:p>
    <w:p w:rsidR="002A6A37" w:rsidRPr="004C2769" w:rsidRDefault="002A6A37" w:rsidP="002A6A37">
      <w:pPr>
        <w:pStyle w:val="ListParagraph"/>
        <w:numPr>
          <w:ilvl w:val="0"/>
          <w:numId w:val="1"/>
        </w:numPr>
        <w:jc w:val="both"/>
        <w:rPr>
          <w:rFonts w:cstheme="minorHAnsi"/>
          <w:sz w:val="24"/>
          <w:szCs w:val="24"/>
        </w:rPr>
      </w:pPr>
      <w:r w:rsidRPr="004C2769">
        <w:rPr>
          <w:rFonts w:cstheme="minorHAnsi"/>
          <w:sz w:val="24"/>
          <w:szCs w:val="24"/>
        </w:rPr>
        <w:t>Shri. P.K Pradahan , IAS (Retd.) Chief Secretary , Government of Sikkim..Member</w:t>
      </w:r>
    </w:p>
    <w:p w:rsidR="00E77D89" w:rsidRPr="004C2769" w:rsidRDefault="00E77D89" w:rsidP="002A6A37">
      <w:pPr>
        <w:pStyle w:val="ListParagraph"/>
        <w:numPr>
          <w:ilvl w:val="0"/>
          <w:numId w:val="1"/>
        </w:numPr>
        <w:jc w:val="both"/>
        <w:rPr>
          <w:rFonts w:cstheme="minorHAnsi"/>
          <w:sz w:val="24"/>
          <w:szCs w:val="24"/>
        </w:rPr>
      </w:pPr>
      <w:r w:rsidRPr="004C2769">
        <w:rPr>
          <w:rFonts w:cstheme="minorHAnsi"/>
          <w:sz w:val="24"/>
          <w:szCs w:val="24"/>
        </w:rPr>
        <w:t>Shri. K.N Bhutia, IAS (Retd.) Principal Secretary, Government of Sikkim..Member</w:t>
      </w:r>
    </w:p>
    <w:p w:rsidR="002A6A37" w:rsidRPr="004C2769" w:rsidRDefault="002A6A37" w:rsidP="002A6A37">
      <w:pPr>
        <w:pStyle w:val="ListParagraph"/>
        <w:numPr>
          <w:ilvl w:val="0"/>
          <w:numId w:val="1"/>
        </w:numPr>
        <w:jc w:val="both"/>
        <w:rPr>
          <w:rFonts w:cstheme="minorHAnsi"/>
          <w:sz w:val="24"/>
          <w:szCs w:val="24"/>
        </w:rPr>
      </w:pPr>
      <w:r w:rsidRPr="004C2769">
        <w:rPr>
          <w:rFonts w:cstheme="minorHAnsi"/>
          <w:sz w:val="24"/>
          <w:szCs w:val="24"/>
        </w:rPr>
        <w:t>Shri. O.P Singhi, (Retd) Secretary, Government of Sikkim..........................Member</w:t>
      </w:r>
    </w:p>
    <w:p w:rsidR="002A6A37" w:rsidRPr="004C2769" w:rsidRDefault="002A6A37" w:rsidP="002A6A37">
      <w:pPr>
        <w:pStyle w:val="ListParagraph"/>
        <w:numPr>
          <w:ilvl w:val="0"/>
          <w:numId w:val="1"/>
        </w:numPr>
        <w:jc w:val="both"/>
        <w:rPr>
          <w:rFonts w:cstheme="minorHAnsi"/>
          <w:sz w:val="24"/>
          <w:szCs w:val="24"/>
        </w:rPr>
      </w:pPr>
      <w:r w:rsidRPr="004C2769">
        <w:rPr>
          <w:rFonts w:cstheme="minorHAnsi"/>
          <w:sz w:val="24"/>
          <w:szCs w:val="24"/>
        </w:rPr>
        <w:t>Shri. Taga Khampa, (Rtd.) Managing Director, ..........................................Member</w:t>
      </w:r>
    </w:p>
    <w:p w:rsidR="00E77D89" w:rsidRPr="004C2769" w:rsidRDefault="002A6A37" w:rsidP="00E77D89">
      <w:pPr>
        <w:pStyle w:val="ListParagraph"/>
        <w:ind w:left="1440"/>
        <w:jc w:val="both"/>
        <w:rPr>
          <w:rFonts w:cstheme="minorHAnsi"/>
          <w:sz w:val="24"/>
          <w:szCs w:val="24"/>
        </w:rPr>
      </w:pPr>
      <w:r w:rsidRPr="004C2769">
        <w:rPr>
          <w:rFonts w:cstheme="minorHAnsi"/>
          <w:sz w:val="24"/>
          <w:szCs w:val="24"/>
        </w:rPr>
        <w:t xml:space="preserve">Sikkim Time Corporation Ltd. </w:t>
      </w:r>
    </w:p>
    <w:p w:rsidR="00E77D89" w:rsidRPr="004C2769" w:rsidRDefault="002A6A37" w:rsidP="00E77D89">
      <w:pPr>
        <w:pStyle w:val="ListParagraph"/>
        <w:numPr>
          <w:ilvl w:val="0"/>
          <w:numId w:val="1"/>
        </w:numPr>
        <w:jc w:val="both"/>
        <w:rPr>
          <w:rFonts w:cstheme="minorHAnsi"/>
        </w:rPr>
      </w:pPr>
      <w:r w:rsidRPr="004C2769">
        <w:rPr>
          <w:rFonts w:cstheme="minorHAnsi"/>
        </w:rPr>
        <w:t>Secretary, Food and Civil Supplies &amp;Consumer</w:t>
      </w:r>
    </w:p>
    <w:p w:rsidR="00077305" w:rsidRDefault="002A6A37" w:rsidP="00081A85">
      <w:pPr>
        <w:pStyle w:val="ListParagraph"/>
        <w:ind w:left="1440"/>
        <w:jc w:val="both"/>
        <w:rPr>
          <w:rFonts w:cstheme="minorHAnsi"/>
        </w:rPr>
      </w:pPr>
      <w:r w:rsidRPr="004C2769">
        <w:rPr>
          <w:rFonts w:cstheme="minorHAnsi"/>
        </w:rPr>
        <w:t xml:space="preserve"> Affairs Department, Government of Sikkim..............................</w:t>
      </w:r>
      <w:r w:rsidR="00E77D89" w:rsidRPr="004C2769">
        <w:rPr>
          <w:rFonts w:cstheme="minorHAnsi"/>
        </w:rPr>
        <w:t>........</w:t>
      </w:r>
      <w:r w:rsidRPr="004C2769">
        <w:rPr>
          <w:rFonts w:cstheme="minorHAnsi"/>
        </w:rPr>
        <w:t xml:space="preserve"> Ex-Officio Member</w:t>
      </w:r>
    </w:p>
    <w:p w:rsidR="00081A85" w:rsidRPr="00081A85" w:rsidRDefault="00081A85" w:rsidP="00081A85">
      <w:pPr>
        <w:pStyle w:val="ListParagraph"/>
        <w:ind w:left="1440"/>
        <w:jc w:val="both"/>
        <w:rPr>
          <w:rFonts w:cstheme="minorHAnsi"/>
        </w:rPr>
      </w:pPr>
    </w:p>
    <w:p w:rsidR="00077305" w:rsidRDefault="00077305" w:rsidP="00077305">
      <w:pPr>
        <w:pStyle w:val="ListParagraph"/>
        <w:ind w:left="1440" w:hanging="731"/>
        <w:rPr>
          <w:rFonts w:cstheme="minorHAnsi"/>
          <w:b/>
          <w:color w:val="FFFF00"/>
        </w:rPr>
      </w:pPr>
      <w:r w:rsidRPr="00077305">
        <w:rPr>
          <w:rFonts w:cstheme="minorHAnsi"/>
          <w:b/>
        </w:rPr>
        <w:t>2.</w:t>
      </w:r>
      <w:r w:rsidR="003E1206" w:rsidRPr="001214C2">
        <w:rPr>
          <w:rFonts w:cstheme="minorHAnsi"/>
          <w:b/>
          <w:sz w:val="24"/>
          <w:szCs w:val="24"/>
        </w:rPr>
        <w:t>9</w:t>
      </w:r>
      <w:r w:rsidRPr="001214C2">
        <w:rPr>
          <w:rFonts w:cstheme="minorHAnsi"/>
          <w:b/>
          <w:sz w:val="24"/>
          <w:szCs w:val="24"/>
        </w:rPr>
        <w:t xml:space="preserve">  </w:t>
      </w:r>
      <w:r w:rsidRPr="001214C2">
        <w:rPr>
          <w:rFonts w:cstheme="minorHAnsi"/>
          <w:b/>
          <w:color w:val="FFFF00"/>
          <w:sz w:val="24"/>
          <w:szCs w:val="24"/>
          <w:highlight w:val="darkGreen"/>
        </w:rPr>
        <w:t>TRAINING AND CAPACITY BUILDING</w:t>
      </w:r>
    </w:p>
    <w:p w:rsidR="00077305" w:rsidRDefault="00077305" w:rsidP="00077305">
      <w:pPr>
        <w:pStyle w:val="ListParagraph"/>
        <w:ind w:left="1440" w:hanging="731"/>
        <w:rPr>
          <w:rFonts w:cstheme="minorHAnsi"/>
          <w:b/>
          <w:color w:val="FFFF00"/>
        </w:rPr>
      </w:pPr>
    </w:p>
    <w:p w:rsidR="008C124C" w:rsidRDefault="00081A85" w:rsidP="008C124C">
      <w:pPr>
        <w:pStyle w:val="ListParagraph"/>
        <w:ind w:left="709"/>
        <w:jc w:val="both"/>
        <w:rPr>
          <w:rFonts w:cstheme="minorHAnsi"/>
        </w:rPr>
      </w:pPr>
      <w:r>
        <w:rPr>
          <w:rFonts w:cstheme="minorHAnsi"/>
        </w:rPr>
        <w:t xml:space="preserve">As a part of Capacity Building and Skill Development, the Commission nominated some of its Officers for attending  various “Trainings” and “Workshops” conducted by the </w:t>
      </w:r>
      <w:r w:rsidR="00032511">
        <w:rPr>
          <w:rFonts w:cstheme="minorHAnsi"/>
        </w:rPr>
        <w:t>Forum of Regulators (FOR), South Asia</w:t>
      </w:r>
      <w:r>
        <w:rPr>
          <w:rFonts w:cstheme="minorHAnsi"/>
        </w:rPr>
        <w:t xml:space="preserve"> Forum </w:t>
      </w:r>
      <w:r w:rsidR="00032511">
        <w:rPr>
          <w:rFonts w:cstheme="minorHAnsi"/>
        </w:rPr>
        <w:t xml:space="preserve">for Infrastructural </w:t>
      </w:r>
      <w:r>
        <w:rPr>
          <w:rFonts w:cstheme="minorHAnsi"/>
        </w:rPr>
        <w:t xml:space="preserve"> Regulat</w:t>
      </w:r>
      <w:r w:rsidR="00032511">
        <w:rPr>
          <w:rFonts w:cstheme="minorHAnsi"/>
        </w:rPr>
        <w:t>ion (SAFIR)</w:t>
      </w:r>
      <w:r>
        <w:rPr>
          <w:rFonts w:cstheme="minorHAnsi"/>
        </w:rPr>
        <w:t xml:space="preserve">  in different parts of the Country.</w:t>
      </w:r>
      <w:r w:rsidR="00E6534C">
        <w:rPr>
          <w:rFonts w:cstheme="minorHAnsi"/>
        </w:rPr>
        <w:t xml:space="preserve"> The “training” and “workshops” in which the Commission’s officers took part are as follows:</w:t>
      </w:r>
    </w:p>
    <w:p w:rsidR="008C124C" w:rsidRPr="008C124C" w:rsidRDefault="008C124C" w:rsidP="008C124C">
      <w:pPr>
        <w:pStyle w:val="ListParagraph"/>
        <w:ind w:left="709"/>
        <w:jc w:val="both"/>
        <w:rPr>
          <w:rFonts w:cstheme="minorHAnsi"/>
        </w:rPr>
      </w:pPr>
    </w:p>
    <w:tbl>
      <w:tblPr>
        <w:tblStyle w:val="TableGrid"/>
        <w:tblW w:w="0" w:type="auto"/>
        <w:tblInd w:w="817" w:type="dxa"/>
        <w:tblLook w:val="04A0"/>
      </w:tblPr>
      <w:tblGrid>
        <w:gridCol w:w="709"/>
        <w:gridCol w:w="5670"/>
        <w:gridCol w:w="2126"/>
      </w:tblGrid>
      <w:tr w:rsidR="008C124C" w:rsidTr="00C6085F">
        <w:tc>
          <w:tcPr>
            <w:tcW w:w="709" w:type="dxa"/>
          </w:tcPr>
          <w:p w:rsidR="008C124C" w:rsidRPr="00C6085F" w:rsidRDefault="008C124C" w:rsidP="00081A85">
            <w:pPr>
              <w:pStyle w:val="ListParagraph"/>
              <w:ind w:left="0"/>
              <w:jc w:val="both"/>
              <w:rPr>
                <w:rFonts w:cstheme="minorHAnsi"/>
                <w:b/>
              </w:rPr>
            </w:pPr>
            <w:r w:rsidRPr="00C6085F">
              <w:rPr>
                <w:rFonts w:cstheme="minorHAnsi"/>
                <w:b/>
              </w:rPr>
              <w:t>Sl.No</w:t>
            </w:r>
          </w:p>
        </w:tc>
        <w:tc>
          <w:tcPr>
            <w:tcW w:w="5670" w:type="dxa"/>
          </w:tcPr>
          <w:p w:rsidR="008C124C" w:rsidRPr="00C6085F" w:rsidRDefault="008C124C" w:rsidP="00081A85">
            <w:pPr>
              <w:pStyle w:val="ListParagraph"/>
              <w:ind w:left="0"/>
              <w:jc w:val="both"/>
              <w:rPr>
                <w:rFonts w:cstheme="minorHAnsi"/>
                <w:b/>
              </w:rPr>
            </w:pPr>
            <w:r w:rsidRPr="00C6085F">
              <w:rPr>
                <w:rFonts w:cstheme="minorHAnsi"/>
                <w:b/>
              </w:rPr>
              <w:t>Details of Training/Workshop</w:t>
            </w:r>
          </w:p>
        </w:tc>
        <w:tc>
          <w:tcPr>
            <w:tcW w:w="2126" w:type="dxa"/>
          </w:tcPr>
          <w:p w:rsidR="008C124C" w:rsidRPr="00C6085F" w:rsidRDefault="008C124C" w:rsidP="00081A85">
            <w:pPr>
              <w:pStyle w:val="ListParagraph"/>
              <w:ind w:left="0"/>
              <w:jc w:val="both"/>
              <w:rPr>
                <w:rFonts w:cstheme="minorHAnsi"/>
                <w:b/>
              </w:rPr>
            </w:pPr>
            <w:r w:rsidRPr="00C6085F">
              <w:rPr>
                <w:rFonts w:cstheme="minorHAnsi"/>
                <w:b/>
              </w:rPr>
              <w:t>Date/Venue</w:t>
            </w:r>
          </w:p>
        </w:tc>
      </w:tr>
      <w:tr w:rsidR="008C124C" w:rsidTr="00C6085F">
        <w:tc>
          <w:tcPr>
            <w:tcW w:w="709" w:type="dxa"/>
          </w:tcPr>
          <w:p w:rsidR="008C124C" w:rsidRPr="00C6085F" w:rsidRDefault="008C124C" w:rsidP="00081A85">
            <w:pPr>
              <w:pStyle w:val="ListParagraph"/>
              <w:ind w:left="0"/>
              <w:jc w:val="both"/>
              <w:rPr>
                <w:rFonts w:cstheme="minorHAnsi"/>
              </w:rPr>
            </w:pPr>
            <w:r w:rsidRPr="00C6085F">
              <w:rPr>
                <w:rFonts w:cstheme="minorHAnsi"/>
              </w:rPr>
              <w:t>1.</w:t>
            </w:r>
          </w:p>
        </w:tc>
        <w:tc>
          <w:tcPr>
            <w:tcW w:w="5670" w:type="dxa"/>
          </w:tcPr>
          <w:p w:rsidR="008C124C" w:rsidRPr="00C6085F" w:rsidRDefault="00032511" w:rsidP="00081A85">
            <w:pPr>
              <w:pStyle w:val="ListParagraph"/>
              <w:ind w:left="0"/>
              <w:jc w:val="both"/>
              <w:rPr>
                <w:rFonts w:cstheme="minorHAnsi"/>
              </w:rPr>
            </w:pPr>
            <w:r w:rsidRPr="00C6085F">
              <w:rPr>
                <w:rFonts w:cstheme="minorHAnsi"/>
              </w:rPr>
              <w:t>12</w:t>
            </w:r>
            <w:r w:rsidR="008C124C" w:rsidRPr="00C6085F">
              <w:rPr>
                <w:rFonts w:cstheme="minorHAnsi"/>
                <w:vertAlign w:val="superscript"/>
              </w:rPr>
              <w:t>th</w:t>
            </w:r>
            <w:r w:rsidR="008C124C" w:rsidRPr="00C6085F">
              <w:rPr>
                <w:rFonts w:cstheme="minorHAnsi"/>
              </w:rPr>
              <w:t xml:space="preserve"> Core Course of SAFIR on Regulatory Issues conducted by SAFIR and Bangladesh Institute of Administration</w:t>
            </w:r>
          </w:p>
        </w:tc>
        <w:tc>
          <w:tcPr>
            <w:tcW w:w="2126" w:type="dxa"/>
          </w:tcPr>
          <w:p w:rsidR="008C124C" w:rsidRPr="00C6085F" w:rsidRDefault="008C124C" w:rsidP="00081A85">
            <w:pPr>
              <w:pStyle w:val="ListParagraph"/>
              <w:ind w:left="0"/>
              <w:jc w:val="both"/>
              <w:rPr>
                <w:rFonts w:cstheme="minorHAnsi"/>
              </w:rPr>
            </w:pPr>
            <w:r w:rsidRPr="00C6085F">
              <w:rPr>
                <w:rFonts w:cstheme="minorHAnsi"/>
              </w:rPr>
              <w:t>23</w:t>
            </w:r>
            <w:r w:rsidRPr="00C6085F">
              <w:rPr>
                <w:rFonts w:cstheme="minorHAnsi"/>
                <w:vertAlign w:val="superscript"/>
              </w:rPr>
              <w:t>rd</w:t>
            </w:r>
            <w:r w:rsidRPr="00C6085F">
              <w:rPr>
                <w:rFonts w:cstheme="minorHAnsi"/>
              </w:rPr>
              <w:t xml:space="preserve"> to 25</w:t>
            </w:r>
            <w:r w:rsidRPr="00C6085F">
              <w:rPr>
                <w:rFonts w:cstheme="minorHAnsi"/>
                <w:vertAlign w:val="superscript"/>
              </w:rPr>
              <w:t>th</w:t>
            </w:r>
            <w:r w:rsidRPr="00C6085F">
              <w:rPr>
                <w:rFonts w:cstheme="minorHAnsi"/>
              </w:rPr>
              <w:t xml:space="preserve"> March 2014</w:t>
            </w:r>
          </w:p>
          <w:p w:rsidR="008C124C" w:rsidRPr="00C6085F" w:rsidRDefault="008C124C" w:rsidP="00081A85">
            <w:pPr>
              <w:pStyle w:val="ListParagraph"/>
              <w:ind w:left="0"/>
              <w:jc w:val="both"/>
              <w:rPr>
                <w:rFonts w:cstheme="minorHAnsi"/>
                <w:b/>
              </w:rPr>
            </w:pPr>
            <w:r w:rsidRPr="00C6085F">
              <w:rPr>
                <w:rFonts w:cstheme="minorHAnsi"/>
                <w:b/>
              </w:rPr>
              <w:t>Bangladesh</w:t>
            </w:r>
          </w:p>
        </w:tc>
      </w:tr>
      <w:tr w:rsidR="008C124C" w:rsidTr="00C6085F">
        <w:tc>
          <w:tcPr>
            <w:tcW w:w="709" w:type="dxa"/>
          </w:tcPr>
          <w:p w:rsidR="008C124C" w:rsidRPr="00C6085F" w:rsidRDefault="00576BFB" w:rsidP="00081A85">
            <w:pPr>
              <w:pStyle w:val="ListParagraph"/>
              <w:ind w:left="0"/>
              <w:jc w:val="both"/>
              <w:rPr>
                <w:rFonts w:cstheme="minorHAnsi"/>
              </w:rPr>
            </w:pPr>
            <w:r w:rsidRPr="00C6085F">
              <w:rPr>
                <w:rFonts w:cstheme="minorHAnsi"/>
              </w:rPr>
              <w:t>2.</w:t>
            </w:r>
          </w:p>
        </w:tc>
        <w:tc>
          <w:tcPr>
            <w:tcW w:w="5670" w:type="dxa"/>
          </w:tcPr>
          <w:p w:rsidR="008C124C" w:rsidRPr="00C6085F" w:rsidRDefault="00576BFB" w:rsidP="00576BFB">
            <w:pPr>
              <w:pStyle w:val="ListParagraph"/>
              <w:ind w:left="0"/>
              <w:jc w:val="both"/>
              <w:rPr>
                <w:rFonts w:cstheme="minorHAnsi"/>
              </w:rPr>
            </w:pPr>
            <w:r w:rsidRPr="00C6085F">
              <w:rPr>
                <w:rFonts w:cstheme="minorHAnsi"/>
              </w:rPr>
              <w:t>7</w:t>
            </w:r>
            <w:r w:rsidRPr="00C6085F">
              <w:rPr>
                <w:rFonts w:cstheme="minorHAnsi"/>
                <w:vertAlign w:val="superscript"/>
              </w:rPr>
              <w:t>th</w:t>
            </w:r>
            <w:r w:rsidRPr="00C6085F">
              <w:rPr>
                <w:rFonts w:cstheme="minorHAnsi"/>
              </w:rPr>
              <w:t xml:space="preserve"> Capacity Building Program for Officers of Electricity Regulatory Commissions conducted by the FOR and IIT Kanpur.</w:t>
            </w:r>
          </w:p>
        </w:tc>
        <w:tc>
          <w:tcPr>
            <w:tcW w:w="2126" w:type="dxa"/>
          </w:tcPr>
          <w:p w:rsidR="00EF6240" w:rsidRPr="00C6085F" w:rsidRDefault="00576BFB" w:rsidP="00081A85">
            <w:pPr>
              <w:pStyle w:val="ListParagraph"/>
              <w:ind w:left="0"/>
              <w:jc w:val="both"/>
              <w:rPr>
                <w:rFonts w:cstheme="minorHAnsi"/>
              </w:rPr>
            </w:pPr>
            <w:r w:rsidRPr="00C6085F">
              <w:rPr>
                <w:rFonts w:cstheme="minorHAnsi"/>
              </w:rPr>
              <w:t>28</w:t>
            </w:r>
            <w:r w:rsidRPr="00C6085F">
              <w:rPr>
                <w:rFonts w:cstheme="minorHAnsi"/>
                <w:vertAlign w:val="superscript"/>
              </w:rPr>
              <w:t>th</w:t>
            </w:r>
            <w:r w:rsidRPr="00C6085F">
              <w:rPr>
                <w:rFonts w:cstheme="minorHAnsi"/>
              </w:rPr>
              <w:t xml:space="preserve">  to 30</w:t>
            </w:r>
            <w:r w:rsidRPr="00C6085F">
              <w:rPr>
                <w:rFonts w:cstheme="minorHAnsi"/>
                <w:vertAlign w:val="superscript"/>
              </w:rPr>
              <w:t>th</w:t>
            </w:r>
            <w:r w:rsidRPr="00C6085F">
              <w:rPr>
                <w:rFonts w:cstheme="minorHAnsi"/>
              </w:rPr>
              <w:t xml:space="preserve"> January 2015</w:t>
            </w:r>
          </w:p>
          <w:p w:rsidR="00576BFB" w:rsidRPr="00C6085F" w:rsidRDefault="00576BFB" w:rsidP="00081A85">
            <w:pPr>
              <w:pStyle w:val="ListParagraph"/>
              <w:ind w:left="0"/>
              <w:jc w:val="both"/>
              <w:rPr>
                <w:rFonts w:cstheme="minorHAnsi"/>
                <w:b/>
              </w:rPr>
            </w:pPr>
            <w:r w:rsidRPr="00C6085F">
              <w:rPr>
                <w:rFonts w:cstheme="minorHAnsi"/>
                <w:b/>
              </w:rPr>
              <w:t>IIT Kanpur.</w:t>
            </w:r>
          </w:p>
        </w:tc>
      </w:tr>
      <w:tr w:rsidR="00576BFB" w:rsidTr="00C6085F">
        <w:tc>
          <w:tcPr>
            <w:tcW w:w="709" w:type="dxa"/>
          </w:tcPr>
          <w:p w:rsidR="00576BFB" w:rsidRPr="00C6085F" w:rsidRDefault="00576BFB" w:rsidP="00081A85">
            <w:pPr>
              <w:pStyle w:val="ListParagraph"/>
              <w:ind w:left="0"/>
              <w:jc w:val="both"/>
              <w:rPr>
                <w:rFonts w:cstheme="minorHAnsi"/>
              </w:rPr>
            </w:pPr>
            <w:r w:rsidRPr="00C6085F">
              <w:rPr>
                <w:rFonts w:cstheme="minorHAnsi"/>
              </w:rPr>
              <w:t>3.</w:t>
            </w:r>
          </w:p>
        </w:tc>
        <w:tc>
          <w:tcPr>
            <w:tcW w:w="5670" w:type="dxa"/>
          </w:tcPr>
          <w:p w:rsidR="00576BFB" w:rsidRPr="00C6085F" w:rsidRDefault="00576BFB" w:rsidP="00576BFB">
            <w:pPr>
              <w:pStyle w:val="ListParagraph"/>
              <w:ind w:left="0"/>
              <w:jc w:val="both"/>
              <w:rPr>
                <w:rFonts w:cstheme="minorHAnsi"/>
              </w:rPr>
            </w:pPr>
            <w:r w:rsidRPr="00C6085F">
              <w:rPr>
                <w:rFonts w:cstheme="minorHAnsi"/>
              </w:rPr>
              <w:t>8</w:t>
            </w:r>
            <w:r w:rsidRPr="00C6085F">
              <w:rPr>
                <w:rFonts w:cstheme="minorHAnsi"/>
                <w:vertAlign w:val="superscript"/>
              </w:rPr>
              <w:t>th</w:t>
            </w:r>
            <w:r w:rsidRPr="00C6085F">
              <w:rPr>
                <w:rFonts w:cstheme="minorHAnsi"/>
              </w:rPr>
              <w:t xml:space="preserve"> Capacity Building Program for Officers of Electricity Regulatory Commissions conducted by the FOR and IIT Kanpur.</w:t>
            </w:r>
          </w:p>
        </w:tc>
        <w:tc>
          <w:tcPr>
            <w:tcW w:w="2126" w:type="dxa"/>
          </w:tcPr>
          <w:p w:rsidR="00576BFB" w:rsidRPr="00C6085F" w:rsidRDefault="00576BFB" w:rsidP="00081A85">
            <w:pPr>
              <w:pStyle w:val="ListParagraph"/>
              <w:ind w:left="0"/>
              <w:jc w:val="both"/>
              <w:rPr>
                <w:rFonts w:cstheme="minorHAnsi"/>
              </w:rPr>
            </w:pPr>
            <w:r w:rsidRPr="00C6085F">
              <w:rPr>
                <w:rFonts w:cstheme="minorHAnsi"/>
              </w:rPr>
              <w:t>18</w:t>
            </w:r>
            <w:r w:rsidRPr="00C6085F">
              <w:rPr>
                <w:rFonts w:cstheme="minorHAnsi"/>
                <w:vertAlign w:val="superscript"/>
              </w:rPr>
              <w:t>th</w:t>
            </w:r>
            <w:r w:rsidRPr="00C6085F">
              <w:rPr>
                <w:rFonts w:cstheme="minorHAnsi"/>
              </w:rPr>
              <w:t xml:space="preserve"> to 20</w:t>
            </w:r>
            <w:r w:rsidRPr="00C6085F">
              <w:rPr>
                <w:rFonts w:cstheme="minorHAnsi"/>
                <w:vertAlign w:val="superscript"/>
              </w:rPr>
              <w:t>th</w:t>
            </w:r>
            <w:r w:rsidRPr="00C6085F">
              <w:rPr>
                <w:rFonts w:cstheme="minorHAnsi"/>
              </w:rPr>
              <w:t xml:space="preserve"> February 2015-04-22</w:t>
            </w:r>
          </w:p>
          <w:p w:rsidR="00576BFB" w:rsidRPr="00C6085F" w:rsidRDefault="00576BFB" w:rsidP="00081A85">
            <w:pPr>
              <w:pStyle w:val="ListParagraph"/>
              <w:ind w:left="0"/>
              <w:jc w:val="both"/>
              <w:rPr>
                <w:rFonts w:cstheme="minorHAnsi"/>
              </w:rPr>
            </w:pPr>
          </w:p>
          <w:p w:rsidR="00576BFB" w:rsidRPr="00C6085F" w:rsidRDefault="00576BFB" w:rsidP="00081A85">
            <w:pPr>
              <w:pStyle w:val="ListParagraph"/>
              <w:ind w:left="0"/>
              <w:jc w:val="both"/>
              <w:rPr>
                <w:rFonts w:cstheme="minorHAnsi"/>
                <w:b/>
              </w:rPr>
            </w:pPr>
            <w:r w:rsidRPr="00C6085F">
              <w:rPr>
                <w:rFonts w:cstheme="minorHAnsi"/>
                <w:b/>
              </w:rPr>
              <w:t>Singapore.</w:t>
            </w:r>
          </w:p>
        </w:tc>
      </w:tr>
      <w:tr w:rsidR="00576BFB" w:rsidTr="00C6085F">
        <w:tc>
          <w:tcPr>
            <w:tcW w:w="709" w:type="dxa"/>
          </w:tcPr>
          <w:p w:rsidR="00576BFB" w:rsidRPr="00C6085F" w:rsidRDefault="00CE27E9" w:rsidP="00081A85">
            <w:pPr>
              <w:pStyle w:val="ListParagraph"/>
              <w:ind w:left="0"/>
              <w:jc w:val="both"/>
              <w:rPr>
                <w:rFonts w:cstheme="minorHAnsi"/>
              </w:rPr>
            </w:pPr>
            <w:r w:rsidRPr="00C6085F">
              <w:rPr>
                <w:rFonts w:cstheme="minorHAnsi"/>
              </w:rPr>
              <w:t>4.</w:t>
            </w:r>
          </w:p>
        </w:tc>
        <w:tc>
          <w:tcPr>
            <w:tcW w:w="5670" w:type="dxa"/>
          </w:tcPr>
          <w:p w:rsidR="00576BFB" w:rsidRPr="00C6085F" w:rsidRDefault="00EF6240" w:rsidP="00EF6240">
            <w:pPr>
              <w:pStyle w:val="NoSpacing"/>
              <w:jc w:val="both"/>
              <w:rPr>
                <w:rFonts w:cstheme="minorHAnsi"/>
              </w:rPr>
            </w:pPr>
            <w:r w:rsidRPr="00C6085F">
              <w:t xml:space="preserve">National Workshop on Accelerating Clean Energy Deployment through Innovative Policies and Regulations organized by the MNRE,GoI and USAID/INDIA  </w:t>
            </w:r>
          </w:p>
        </w:tc>
        <w:tc>
          <w:tcPr>
            <w:tcW w:w="2126" w:type="dxa"/>
          </w:tcPr>
          <w:p w:rsidR="00EF6240" w:rsidRPr="00C6085F" w:rsidRDefault="00EF6240" w:rsidP="00EF6240">
            <w:pPr>
              <w:pStyle w:val="NoSpacing"/>
              <w:jc w:val="both"/>
            </w:pPr>
            <w:r w:rsidRPr="00C6085F">
              <w:t xml:space="preserve"> 8</w:t>
            </w:r>
            <w:r w:rsidRPr="00C6085F">
              <w:rPr>
                <w:vertAlign w:val="superscript"/>
              </w:rPr>
              <w:t>th</w:t>
            </w:r>
            <w:r w:rsidRPr="00C6085F">
              <w:t xml:space="preserve"> and 9</w:t>
            </w:r>
            <w:r w:rsidRPr="00C6085F">
              <w:rPr>
                <w:vertAlign w:val="superscript"/>
              </w:rPr>
              <w:t>th</w:t>
            </w:r>
            <w:r w:rsidRPr="00C6085F">
              <w:t xml:space="preserve"> April 2015.</w:t>
            </w:r>
          </w:p>
          <w:p w:rsidR="00EF6240" w:rsidRPr="00C6085F" w:rsidRDefault="00EF6240" w:rsidP="00EF6240">
            <w:pPr>
              <w:pStyle w:val="NoSpacing"/>
              <w:jc w:val="both"/>
            </w:pPr>
            <w:r w:rsidRPr="00C6085F">
              <w:t xml:space="preserve"> </w:t>
            </w:r>
            <w:r w:rsidRPr="00C6085F">
              <w:rPr>
                <w:b/>
              </w:rPr>
              <w:t>New Delhi</w:t>
            </w:r>
            <w:r w:rsidRPr="00C6085F">
              <w:t>.</w:t>
            </w:r>
          </w:p>
          <w:p w:rsidR="00576BFB" w:rsidRPr="00C6085F" w:rsidRDefault="00576BFB" w:rsidP="00081A85">
            <w:pPr>
              <w:pStyle w:val="ListParagraph"/>
              <w:ind w:left="0"/>
              <w:jc w:val="both"/>
              <w:rPr>
                <w:rFonts w:cstheme="minorHAnsi"/>
              </w:rPr>
            </w:pPr>
          </w:p>
        </w:tc>
      </w:tr>
      <w:tr w:rsidR="00424F56" w:rsidTr="00C6085F">
        <w:tc>
          <w:tcPr>
            <w:tcW w:w="709" w:type="dxa"/>
          </w:tcPr>
          <w:p w:rsidR="00424F56" w:rsidRPr="00C6085F" w:rsidRDefault="00424F56" w:rsidP="00081A85">
            <w:pPr>
              <w:pStyle w:val="ListParagraph"/>
              <w:ind w:left="0"/>
              <w:jc w:val="both"/>
              <w:rPr>
                <w:rFonts w:cstheme="minorHAnsi"/>
              </w:rPr>
            </w:pPr>
            <w:r w:rsidRPr="00C6085F">
              <w:rPr>
                <w:rFonts w:cstheme="minorHAnsi"/>
              </w:rPr>
              <w:t>5.</w:t>
            </w:r>
          </w:p>
        </w:tc>
        <w:tc>
          <w:tcPr>
            <w:tcW w:w="5670" w:type="dxa"/>
          </w:tcPr>
          <w:p w:rsidR="00424F56" w:rsidRPr="00C6085F" w:rsidRDefault="00424F56" w:rsidP="00AB5400">
            <w:pPr>
              <w:pStyle w:val="NoSpacing"/>
              <w:jc w:val="both"/>
            </w:pPr>
            <w:r w:rsidRPr="00C6085F">
              <w:t>Step by Step Process involved in Tariff Determination conducted by Meghalaya Electricity regulatory Commission and Rachna Management</w:t>
            </w:r>
            <w:r w:rsidR="00787F9F" w:rsidRPr="00C6085F">
              <w:t xml:space="preserve"> </w:t>
            </w:r>
            <w:r w:rsidRPr="00C6085F">
              <w:t>Consultants</w:t>
            </w:r>
            <w:r w:rsidR="00AB5400" w:rsidRPr="00C6085F">
              <w:t xml:space="preserve"> &amp; Studies </w:t>
            </w:r>
            <w:r w:rsidRPr="00C6085F">
              <w:t xml:space="preserve"> Pvt. Ltd.</w:t>
            </w:r>
          </w:p>
        </w:tc>
        <w:tc>
          <w:tcPr>
            <w:tcW w:w="2126" w:type="dxa"/>
          </w:tcPr>
          <w:p w:rsidR="00424F56" w:rsidRPr="00C6085F" w:rsidRDefault="00424F56" w:rsidP="00EF6240">
            <w:pPr>
              <w:pStyle w:val="NoSpacing"/>
              <w:jc w:val="both"/>
            </w:pPr>
            <w:r w:rsidRPr="00C6085F">
              <w:t>16</w:t>
            </w:r>
            <w:r w:rsidRPr="00C6085F">
              <w:rPr>
                <w:vertAlign w:val="superscript"/>
              </w:rPr>
              <w:t>th</w:t>
            </w:r>
            <w:r w:rsidRPr="00C6085F">
              <w:t xml:space="preserve"> to 18</w:t>
            </w:r>
            <w:r w:rsidRPr="00C6085F">
              <w:rPr>
                <w:vertAlign w:val="superscript"/>
              </w:rPr>
              <w:t>th</w:t>
            </w:r>
            <w:r w:rsidRPr="00C6085F">
              <w:t xml:space="preserve"> April 2015</w:t>
            </w:r>
          </w:p>
          <w:p w:rsidR="00424F56" w:rsidRPr="00C6085F" w:rsidRDefault="00424F56" w:rsidP="00EF6240">
            <w:pPr>
              <w:pStyle w:val="NoSpacing"/>
              <w:jc w:val="both"/>
            </w:pPr>
          </w:p>
          <w:p w:rsidR="00424F56" w:rsidRPr="00C6085F" w:rsidRDefault="00424F56" w:rsidP="00EF6240">
            <w:pPr>
              <w:pStyle w:val="NoSpacing"/>
              <w:jc w:val="both"/>
              <w:rPr>
                <w:b/>
              </w:rPr>
            </w:pPr>
            <w:r w:rsidRPr="00C6085F">
              <w:rPr>
                <w:b/>
              </w:rPr>
              <w:t xml:space="preserve">Shillong. </w:t>
            </w:r>
          </w:p>
        </w:tc>
      </w:tr>
    </w:tbl>
    <w:p w:rsidR="00613FD9" w:rsidRDefault="00613FD9" w:rsidP="00535B65">
      <w:pPr>
        <w:pStyle w:val="NoSpacing"/>
        <w:rPr>
          <w:rFonts w:cstheme="minorHAnsi"/>
          <w:b/>
          <w:bCs/>
          <w:spacing w:val="-1"/>
          <w:sz w:val="28"/>
          <w:szCs w:val="28"/>
        </w:rPr>
      </w:pPr>
    </w:p>
    <w:p w:rsidR="00E26577" w:rsidRPr="00564B65" w:rsidRDefault="004538F8" w:rsidP="004538F8">
      <w:pPr>
        <w:pStyle w:val="NoSpacing"/>
        <w:jc w:val="center"/>
        <w:rPr>
          <w:rFonts w:cstheme="minorHAnsi"/>
          <w:b/>
          <w:bCs/>
          <w:spacing w:val="-1"/>
          <w:sz w:val="28"/>
          <w:szCs w:val="28"/>
        </w:rPr>
      </w:pPr>
      <w:r w:rsidRPr="00564B65">
        <w:rPr>
          <w:rFonts w:cstheme="minorHAnsi"/>
          <w:b/>
          <w:bCs/>
          <w:spacing w:val="-1"/>
          <w:sz w:val="28"/>
          <w:szCs w:val="28"/>
        </w:rPr>
        <w:lastRenderedPageBreak/>
        <w:t>CHAPTER-3</w:t>
      </w:r>
    </w:p>
    <w:p w:rsidR="004538F8" w:rsidRPr="004538F8" w:rsidRDefault="004538F8" w:rsidP="004538F8">
      <w:pPr>
        <w:pStyle w:val="NoSpacing"/>
        <w:jc w:val="center"/>
        <w:rPr>
          <w:rFonts w:cstheme="minorHAnsi"/>
          <w:b/>
          <w:bCs/>
          <w:spacing w:val="-1"/>
          <w:szCs w:val="28"/>
        </w:rPr>
      </w:pPr>
    </w:p>
    <w:p w:rsidR="004538F8" w:rsidRDefault="004538F8" w:rsidP="00E77D89">
      <w:pPr>
        <w:pStyle w:val="NoSpacing"/>
        <w:rPr>
          <w:rFonts w:cstheme="minorHAnsi"/>
          <w:b/>
          <w:bCs/>
          <w:spacing w:val="-1"/>
          <w:szCs w:val="28"/>
        </w:rPr>
      </w:pPr>
    </w:p>
    <w:p w:rsidR="004538F8" w:rsidRPr="004C2769" w:rsidRDefault="004538F8" w:rsidP="00E77D89">
      <w:pPr>
        <w:pStyle w:val="NoSpacing"/>
        <w:rPr>
          <w:rFonts w:cstheme="minorHAnsi"/>
          <w:b/>
          <w:bCs/>
          <w:spacing w:val="-1"/>
          <w:szCs w:val="28"/>
        </w:rPr>
      </w:pPr>
    </w:p>
    <w:p w:rsidR="00711515" w:rsidRDefault="004538F8" w:rsidP="008A726D">
      <w:pPr>
        <w:pStyle w:val="NoSpacing"/>
        <w:ind w:firstLine="720"/>
        <w:rPr>
          <w:rFonts w:cstheme="minorHAnsi"/>
          <w:b/>
          <w:color w:val="FFFF00"/>
          <w:sz w:val="24"/>
          <w:szCs w:val="24"/>
        </w:rPr>
      </w:pPr>
      <w:r w:rsidRPr="00D7288E">
        <w:rPr>
          <w:rFonts w:cstheme="minorHAnsi"/>
          <w:b/>
          <w:sz w:val="24"/>
          <w:szCs w:val="24"/>
        </w:rPr>
        <w:t>3.1</w:t>
      </w:r>
      <w:r w:rsidRPr="00D7288E">
        <w:rPr>
          <w:rFonts w:cstheme="minorHAnsi"/>
          <w:b/>
          <w:color w:val="FFFF00"/>
          <w:sz w:val="24"/>
          <w:szCs w:val="24"/>
        </w:rPr>
        <w:t xml:space="preserve"> </w:t>
      </w:r>
      <w:r w:rsidR="00711515" w:rsidRPr="00D86288">
        <w:rPr>
          <w:rFonts w:cstheme="minorHAnsi"/>
          <w:b/>
          <w:color w:val="FFFF00"/>
          <w:sz w:val="24"/>
          <w:szCs w:val="24"/>
          <w:highlight w:val="darkGreen"/>
        </w:rPr>
        <w:t>REGULATORY DISPUTES</w:t>
      </w:r>
    </w:p>
    <w:p w:rsidR="002947EE" w:rsidRPr="004C2769" w:rsidRDefault="002947EE" w:rsidP="008A726D">
      <w:pPr>
        <w:pStyle w:val="NoSpacing"/>
        <w:ind w:firstLine="720"/>
        <w:rPr>
          <w:rFonts w:cstheme="minorHAnsi"/>
          <w:b/>
          <w:sz w:val="24"/>
          <w:szCs w:val="24"/>
        </w:rPr>
      </w:pPr>
    </w:p>
    <w:p w:rsidR="00711515" w:rsidRDefault="00711515" w:rsidP="00711515">
      <w:pPr>
        <w:pStyle w:val="NoSpacing"/>
        <w:rPr>
          <w:rFonts w:cstheme="minorHAnsi"/>
        </w:rPr>
      </w:pPr>
      <w:r w:rsidRPr="004C2769">
        <w:rPr>
          <w:rFonts w:cstheme="minorHAnsi"/>
          <w:b/>
        </w:rPr>
        <w:t xml:space="preserve">       </w:t>
      </w:r>
      <w:r w:rsidRPr="004C2769">
        <w:rPr>
          <w:rFonts w:cstheme="minorHAnsi"/>
          <w:b/>
        </w:rPr>
        <w:tab/>
      </w:r>
      <w:r w:rsidRPr="004C2769">
        <w:rPr>
          <w:rFonts w:cstheme="minorHAnsi"/>
        </w:rPr>
        <w:t>There were no regulatory disputes during the Financial Year 2013-14</w:t>
      </w:r>
    </w:p>
    <w:p w:rsidR="003B4856" w:rsidRPr="004C2769" w:rsidRDefault="003B4856" w:rsidP="00711515">
      <w:pPr>
        <w:pStyle w:val="NoSpacing"/>
        <w:rPr>
          <w:rFonts w:cstheme="minorHAnsi"/>
        </w:rPr>
      </w:pPr>
    </w:p>
    <w:p w:rsidR="00711515" w:rsidRPr="004C2769" w:rsidRDefault="00711515" w:rsidP="00711515">
      <w:pPr>
        <w:pStyle w:val="NoSpacing"/>
        <w:rPr>
          <w:rFonts w:cstheme="minorHAnsi"/>
        </w:rPr>
      </w:pPr>
      <w:r w:rsidRPr="004C2769">
        <w:rPr>
          <w:rFonts w:cstheme="minorHAnsi"/>
        </w:rPr>
        <w:tab/>
      </w:r>
    </w:p>
    <w:p w:rsidR="00711515" w:rsidRDefault="004538F8" w:rsidP="008A726D">
      <w:pPr>
        <w:pStyle w:val="NoSpacing"/>
        <w:ind w:firstLine="709"/>
        <w:rPr>
          <w:rFonts w:cstheme="minorHAnsi"/>
          <w:b/>
          <w:color w:val="FFFF00"/>
        </w:rPr>
      </w:pPr>
      <w:r w:rsidRPr="00D7288E">
        <w:rPr>
          <w:rFonts w:cstheme="minorHAnsi"/>
          <w:b/>
        </w:rPr>
        <w:t>3.2</w:t>
      </w:r>
      <w:r w:rsidRPr="00D7288E">
        <w:rPr>
          <w:rFonts w:cstheme="minorHAnsi"/>
          <w:b/>
          <w:color w:val="FFFF00"/>
        </w:rPr>
        <w:t xml:space="preserve">  </w:t>
      </w:r>
      <w:r w:rsidR="008A726D" w:rsidRPr="00D86288">
        <w:rPr>
          <w:rFonts w:cstheme="minorHAnsi"/>
          <w:b/>
          <w:color w:val="FFFF00"/>
          <w:highlight w:val="darkGreen"/>
        </w:rPr>
        <w:t>GRANT OF LICENCE</w:t>
      </w:r>
    </w:p>
    <w:p w:rsidR="002947EE" w:rsidRPr="008A726D" w:rsidRDefault="002947EE" w:rsidP="008A726D">
      <w:pPr>
        <w:pStyle w:val="NoSpacing"/>
        <w:ind w:firstLine="709"/>
        <w:rPr>
          <w:rFonts w:cstheme="minorHAnsi"/>
          <w:b/>
          <w:color w:val="FFFF00"/>
        </w:rPr>
      </w:pPr>
    </w:p>
    <w:p w:rsidR="00711515" w:rsidRDefault="00711515" w:rsidP="00711515">
      <w:pPr>
        <w:pStyle w:val="NoSpacing"/>
        <w:ind w:left="720" w:hanging="11"/>
        <w:rPr>
          <w:rFonts w:cstheme="minorHAnsi"/>
        </w:rPr>
      </w:pPr>
      <w:r w:rsidRPr="004C2769">
        <w:rPr>
          <w:rFonts w:cstheme="minorHAnsi"/>
        </w:rPr>
        <w:t>The SSERC did not grant any licence during the period from April 201</w:t>
      </w:r>
      <w:r w:rsidR="00997362">
        <w:rPr>
          <w:rFonts w:cstheme="minorHAnsi"/>
        </w:rPr>
        <w:t>4</w:t>
      </w:r>
      <w:r w:rsidRPr="004C2769">
        <w:rPr>
          <w:rFonts w:cstheme="minorHAnsi"/>
        </w:rPr>
        <w:t>-March 201</w:t>
      </w:r>
      <w:r w:rsidR="00997362">
        <w:rPr>
          <w:rFonts w:cstheme="minorHAnsi"/>
        </w:rPr>
        <w:t>5</w:t>
      </w:r>
      <w:r w:rsidRPr="004C2769">
        <w:rPr>
          <w:rFonts w:cstheme="minorHAnsi"/>
        </w:rPr>
        <w:t xml:space="preserve">. </w:t>
      </w:r>
    </w:p>
    <w:p w:rsidR="003B4856" w:rsidRPr="004C2769" w:rsidRDefault="003B4856" w:rsidP="00711515">
      <w:pPr>
        <w:pStyle w:val="NoSpacing"/>
        <w:ind w:left="720" w:hanging="11"/>
        <w:rPr>
          <w:rFonts w:cstheme="minorHAnsi"/>
        </w:rPr>
      </w:pPr>
    </w:p>
    <w:p w:rsidR="00711515" w:rsidRPr="004C2769" w:rsidRDefault="00711515" w:rsidP="00711515">
      <w:pPr>
        <w:pStyle w:val="NoSpacing"/>
        <w:rPr>
          <w:rFonts w:cstheme="minorHAnsi"/>
        </w:rPr>
      </w:pPr>
    </w:p>
    <w:p w:rsidR="00711515" w:rsidRPr="008A726D" w:rsidRDefault="004538F8" w:rsidP="008A726D">
      <w:pPr>
        <w:pStyle w:val="NoSpacing"/>
        <w:ind w:left="709"/>
        <w:rPr>
          <w:rFonts w:cstheme="minorHAnsi"/>
          <w:b/>
          <w:color w:val="FFFF00"/>
        </w:rPr>
      </w:pPr>
      <w:r w:rsidRPr="00D7288E">
        <w:rPr>
          <w:rFonts w:cstheme="minorHAnsi"/>
          <w:b/>
        </w:rPr>
        <w:t>3.3</w:t>
      </w:r>
      <w:r w:rsidRPr="00D7288E">
        <w:rPr>
          <w:rFonts w:cstheme="minorHAnsi"/>
          <w:b/>
          <w:color w:val="FFFF00"/>
        </w:rPr>
        <w:t xml:space="preserve"> </w:t>
      </w:r>
      <w:r w:rsidR="00711515" w:rsidRPr="00D86288">
        <w:rPr>
          <w:rFonts w:cstheme="minorHAnsi"/>
          <w:b/>
          <w:color w:val="FFFF00"/>
          <w:highlight w:val="darkGreen"/>
        </w:rPr>
        <w:t>STANDARDS OF PERF</w:t>
      </w:r>
      <w:r w:rsidR="008A726D" w:rsidRPr="00D86288">
        <w:rPr>
          <w:rFonts w:cstheme="minorHAnsi"/>
          <w:b/>
          <w:color w:val="FFFF00"/>
          <w:highlight w:val="darkGreen"/>
        </w:rPr>
        <w:t>ORMANCE AND GRIEVANCE REDRESSAL</w:t>
      </w:r>
    </w:p>
    <w:p w:rsidR="00711515" w:rsidRPr="004C2769" w:rsidRDefault="00711515" w:rsidP="00711515">
      <w:pPr>
        <w:pStyle w:val="NoSpacing"/>
        <w:ind w:left="709"/>
        <w:rPr>
          <w:rFonts w:cstheme="minorHAnsi"/>
          <w:b/>
        </w:rPr>
      </w:pPr>
    </w:p>
    <w:p w:rsidR="00711515" w:rsidRPr="004C2769" w:rsidRDefault="00711515" w:rsidP="008A726D">
      <w:pPr>
        <w:pStyle w:val="NoSpacing"/>
        <w:ind w:left="709"/>
        <w:jc w:val="both"/>
        <w:rPr>
          <w:rFonts w:cstheme="minorHAnsi"/>
        </w:rPr>
      </w:pPr>
      <w:r w:rsidRPr="004C2769">
        <w:rPr>
          <w:rFonts w:cstheme="minorHAnsi"/>
        </w:rPr>
        <w:t>The Commission has monitored the compliance to the standard of performance by the deemed licensee i.e. Energy &amp; Power Department, Government of Sikkim and also monitored the redressal of grievances by the Consumer Grievance Redressal Forum (CGRF) and Ombudsman.</w:t>
      </w:r>
    </w:p>
    <w:p w:rsidR="00711515" w:rsidRPr="004C2769" w:rsidRDefault="00711515" w:rsidP="00711515">
      <w:pPr>
        <w:pStyle w:val="NoSpacing"/>
        <w:ind w:left="720"/>
        <w:jc w:val="both"/>
        <w:rPr>
          <w:rFonts w:cstheme="minorHAnsi"/>
        </w:rPr>
      </w:pPr>
    </w:p>
    <w:p w:rsidR="00711515" w:rsidRPr="004C2769" w:rsidRDefault="00711515" w:rsidP="008A726D">
      <w:pPr>
        <w:pStyle w:val="NoSpacing"/>
        <w:ind w:firstLine="709"/>
        <w:jc w:val="both"/>
        <w:rPr>
          <w:rFonts w:cstheme="minorHAnsi"/>
        </w:rPr>
      </w:pPr>
      <w:r w:rsidRPr="004C2769">
        <w:rPr>
          <w:rFonts w:cstheme="minorHAnsi"/>
        </w:rPr>
        <w:t>The details of grievances and redressal during the FY 201</w:t>
      </w:r>
      <w:r w:rsidR="008A726D">
        <w:rPr>
          <w:rFonts w:cstheme="minorHAnsi"/>
        </w:rPr>
        <w:t>4</w:t>
      </w:r>
      <w:r w:rsidRPr="004C2769">
        <w:rPr>
          <w:rFonts w:cstheme="minorHAnsi"/>
        </w:rPr>
        <w:t>-1</w:t>
      </w:r>
      <w:r w:rsidR="008A726D">
        <w:rPr>
          <w:rFonts w:cstheme="minorHAnsi"/>
        </w:rPr>
        <w:t>5</w:t>
      </w:r>
      <w:r w:rsidRPr="004C2769">
        <w:rPr>
          <w:rFonts w:cstheme="minorHAnsi"/>
        </w:rPr>
        <w:t xml:space="preserve"> are as given below:</w:t>
      </w:r>
    </w:p>
    <w:p w:rsidR="00711515" w:rsidRPr="004C2769" w:rsidRDefault="00711515" w:rsidP="00711515">
      <w:pPr>
        <w:pStyle w:val="NoSpacing"/>
        <w:ind w:left="720"/>
        <w:jc w:val="both"/>
        <w:rPr>
          <w:rFonts w:cstheme="minorHAnsi"/>
        </w:rPr>
      </w:pPr>
    </w:p>
    <w:tbl>
      <w:tblPr>
        <w:tblStyle w:val="TableGrid"/>
        <w:tblW w:w="0" w:type="auto"/>
        <w:tblInd w:w="675" w:type="dxa"/>
        <w:tblLook w:val="04A0"/>
      </w:tblPr>
      <w:tblGrid>
        <w:gridCol w:w="3119"/>
        <w:gridCol w:w="3260"/>
        <w:gridCol w:w="2552"/>
      </w:tblGrid>
      <w:tr w:rsidR="00711515" w:rsidRPr="004C2769" w:rsidTr="008427DD">
        <w:tc>
          <w:tcPr>
            <w:tcW w:w="8931" w:type="dxa"/>
            <w:gridSpan w:val="3"/>
          </w:tcPr>
          <w:p w:rsidR="00711515" w:rsidRPr="004C2769" w:rsidRDefault="00711515" w:rsidP="008427DD">
            <w:pPr>
              <w:pStyle w:val="NoSpacing"/>
              <w:jc w:val="both"/>
              <w:rPr>
                <w:rFonts w:cstheme="minorHAnsi"/>
                <w:b/>
              </w:rPr>
            </w:pPr>
            <w:r w:rsidRPr="004C2769">
              <w:rPr>
                <w:rFonts w:cstheme="minorHAnsi"/>
                <w:b/>
              </w:rPr>
              <w:t>Electricity Ombudsman</w:t>
            </w:r>
          </w:p>
        </w:tc>
      </w:tr>
      <w:tr w:rsidR="00711515" w:rsidRPr="004C2769" w:rsidTr="008427DD">
        <w:tc>
          <w:tcPr>
            <w:tcW w:w="3119" w:type="dxa"/>
          </w:tcPr>
          <w:p w:rsidR="00711515" w:rsidRPr="004C2769" w:rsidRDefault="00711515" w:rsidP="008427DD">
            <w:pPr>
              <w:pStyle w:val="NoSpacing"/>
              <w:jc w:val="both"/>
              <w:rPr>
                <w:rFonts w:cstheme="minorHAnsi"/>
                <w:b/>
              </w:rPr>
            </w:pPr>
            <w:r w:rsidRPr="004C2769">
              <w:rPr>
                <w:rFonts w:cstheme="minorHAnsi"/>
                <w:b/>
              </w:rPr>
              <w:t>No. of Grievances Received</w:t>
            </w:r>
          </w:p>
        </w:tc>
        <w:tc>
          <w:tcPr>
            <w:tcW w:w="3260" w:type="dxa"/>
          </w:tcPr>
          <w:p w:rsidR="00711515" w:rsidRPr="004C2769" w:rsidRDefault="00711515" w:rsidP="008427DD">
            <w:pPr>
              <w:pStyle w:val="NoSpacing"/>
              <w:jc w:val="both"/>
              <w:rPr>
                <w:rFonts w:cstheme="minorHAnsi"/>
                <w:b/>
              </w:rPr>
            </w:pPr>
            <w:r w:rsidRPr="004C2769">
              <w:rPr>
                <w:rFonts w:cstheme="minorHAnsi"/>
                <w:b/>
              </w:rPr>
              <w:t>No. Of Grievances Disposed Off</w:t>
            </w:r>
          </w:p>
        </w:tc>
        <w:tc>
          <w:tcPr>
            <w:tcW w:w="2552" w:type="dxa"/>
          </w:tcPr>
          <w:p w:rsidR="00711515" w:rsidRPr="004C2769" w:rsidRDefault="00711515" w:rsidP="008427DD">
            <w:pPr>
              <w:pStyle w:val="NoSpacing"/>
              <w:jc w:val="both"/>
              <w:rPr>
                <w:rFonts w:cstheme="minorHAnsi"/>
                <w:b/>
              </w:rPr>
            </w:pPr>
            <w:r w:rsidRPr="004C2769">
              <w:rPr>
                <w:rFonts w:cstheme="minorHAnsi"/>
                <w:b/>
              </w:rPr>
              <w:t>No. Of Pending Cases.</w:t>
            </w:r>
          </w:p>
        </w:tc>
      </w:tr>
      <w:tr w:rsidR="00711515" w:rsidRPr="004C2769" w:rsidTr="008427DD">
        <w:tc>
          <w:tcPr>
            <w:tcW w:w="3119" w:type="dxa"/>
          </w:tcPr>
          <w:p w:rsidR="00711515" w:rsidRPr="004C2769" w:rsidRDefault="00711515" w:rsidP="008427DD">
            <w:pPr>
              <w:pStyle w:val="NoSpacing"/>
              <w:jc w:val="center"/>
              <w:rPr>
                <w:rFonts w:cstheme="minorHAnsi"/>
              </w:rPr>
            </w:pPr>
            <w:r w:rsidRPr="004C2769">
              <w:rPr>
                <w:rFonts w:cstheme="minorHAnsi"/>
              </w:rPr>
              <w:t>Nil</w:t>
            </w:r>
          </w:p>
        </w:tc>
        <w:tc>
          <w:tcPr>
            <w:tcW w:w="3260" w:type="dxa"/>
          </w:tcPr>
          <w:p w:rsidR="00711515" w:rsidRPr="004C2769" w:rsidRDefault="00711515" w:rsidP="008427DD">
            <w:pPr>
              <w:pStyle w:val="NoSpacing"/>
              <w:jc w:val="center"/>
              <w:rPr>
                <w:rFonts w:cstheme="minorHAnsi"/>
              </w:rPr>
            </w:pPr>
            <w:r w:rsidRPr="004C2769">
              <w:rPr>
                <w:rFonts w:cstheme="minorHAnsi"/>
              </w:rPr>
              <w:t>Nil</w:t>
            </w:r>
          </w:p>
        </w:tc>
        <w:tc>
          <w:tcPr>
            <w:tcW w:w="2552" w:type="dxa"/>
          </w:tcPr>
          <w:p w:rsidR="00711515" w:rsidRPr="004C2769" w:rsidRDefault="00711515" w:rsidP="008427DD">
            <w:pPr>
              <w:pStyle w:val="NoSpacing"/>
              <w:jc w:val="center"/>
              <w:rPr>
                <w:rFonts w:cstheme="minorHAnsi"/>
              </w:rPr>
            </w:pPr>
            <w:r w:rsidRPr="004C2769">
              <w:rPr>
                <w:rFonts w:cstheme="minorHAnsi"/>
              </w:rPr>
              <w:t>Nil</w:t>
            </w:r>
          </w:p>
        </w:tc>
      </w:tr>
      <w:tr w:rsidR="00711515" w:rsidRPr="004C2769" w:rsidTr="008427DD">
        <w:tc>
          <w:tcPr>
            <w:tcW w:w="8931" w:type="dxa"/>
            <w:gridSpan w:val="3"/>
          </w:tcPr>
          <w:p w:rsidR="00711515" w:rsidRPr="004C2769" w:rsidRDefault="00711515" w:rsidP="008427DD">
            <w:pPr>
              <w:pStyle w:val="NoSpacing"/>
              <w:rPr>
                <w:rFonts w:cstheme="minorHAnsi"/>
                <w:b/>
              </w:rPr>
            </w:pPr>
            <w:r w:rsidRPr="004C2769">
              <w:rPr>
                <w:rFonts w:cstheme="minorHAnsi"/>
                <w:b/>
              </w:rPr>
              <w:t>Consumer Grievance Redressal Forum, Gangtok, East Sikkim.</w:t>
            </w:r>
          </w:p>
        </w:tc>
      </w:tr>
      <w:tr w:rsidR="00711515" w:rsidRPr="004C2769" w:rsidTr="008427DD">
        <w:tc>
          <w:tcPr>
            <w:tcW w:w="3119" w:type="dxa"/>
          </w:tcPr>
          <w:p w:rsidR="00711515" w:rsidRPr="004C2769" w:rsidRDefault="00711515" w:rsidP="008427DD">
            <w:pPr>
              <w:pStyle w:val="NoSpacing"/>
              <w:jc w:val="both"/>
              <w:rPr>
                <w:rFonts w:cstheme="minorHAnsi"/>
              </w:rPr>
            </w:pPr>
            <w:r w:rsidRPr="004C2769">
              <w:rPr>
                <w:rFonts w:cstheme="minorHAnsi"/>
              </w:rPr>
              <w:t>No. of Grievances Received</w:t>
            </w:r>
          </w:p>
        </w:tc>
        <w:tc>
          <w:tcPr>
            <w:tcW w:w="3260" w:type="dxa"/>
          </w:tcPr>
          <w:p w:rsidR="00711515" w:rsidRPr="004C2769" w:rsidRDefault="00711515" w:rsidP="008427DD">
            <w:pPr>
              <w:pStyle w:val="NoSpacing"/>
              <w:jc w:val="both"/>
              <w:rPr>
                <w:rFonts w:cstheme="minorHAnsi"/>
              </w:rPr>
            </w:pPr>
            <w:r w:rsidRPr="004C2769">
              <w:rPr>
                <w:rFonts w:cstheme="minorHAnsi"/>
              </w:rPr>
              <w:t>No. Of Grievances Disposed Off</w:t>
            </w:r>
          </w:p>
        </w:tc>
        <w:tc>
          <w:tcPr>
            <w:tcW w:w="2552" w:type="dxa"/>
          </w:tcPr>
          <w:p w:rsidR="00711515" w:rsidRPr="004C2769" w:rsidRDefault="00711515" w:rsidP="008427DD">
            <w:pPr>
              <w:pStyle w:val="NoSpacing"/>
              <w:jc w:val="both"/>
              <w:rPr>
                <w:rFonts w:cstheme="minorHAnsi"/>
              </w:rPr>
            </w:pPr>
            <w:r w:rsidRPr="004C2769">
              <w:rPr>
                <w:rFonts w:cstheme="minorHAnsi"/>
              </w:rPr>
              <w:t>No. Of Pending Cases.</w:t>
            </w:r>
          </w:p>
        </w:tc>
      </w:tr>
      <w:tr w:rsidR="00711515" w:rsidRPr="004C2769" w:rsidTr="008427DD">
        <w:tc>
          <w:tcPr>
            <w:tcW w:w="3119" w:type="dxa"/>
          </w:tcPr>
          <w:p w:rsidR="00711515" w:rsidRPr="004C2769" w:rsidRDefault="00711515" w:rsidP="008427DD">
            <w:pPr>
              <w:pStyle w:val="NoSpacing"/>
              <w:jc w:val="center"/>
              <w:rPr>
                <w:rFonts w:cstheme="minorHAnsi"/>
              </w:rPr>
            </w:pPr>
            <w:r w:rsidRPr="004C2769">
              <w:rPr>
                <w:rFonts w:cstheme="minorHAnsi"/>
              </w:rPr>
              <w:t>Nil</w:t>
            </w:r>
          </w:p>
        </w:tc>
        <w:tc>
          <w:tcPr>
            <w:tcW w:w="3260" w:type="dxa"/>
          </w:tcPr>
          <w:p w:rsidR="00711515" w:rsidRPr="004C2769" w:rsidRDefault="00711515" w:rsidP="008427DD">
            <w:pPr>
              <w:pStyle w:val="NoSpacing"/>
              <w:jc w:val="center"/>
              <w:rPr>
                <w:rFonts w:cstheme="minorHAnsi"/>
              </w:rPr>
            </w:pPr>
            <w:r w:rsidRPr="004C2769">
              <w:rPr>
                <w:rFonts w:cstheme="minorHAnsi"/>
              </w:rPr>
              <w:t>Nil</w:t>
            </w:r>
          </w:p>
        </w:tc>
        <w:tc>
          <w:tcPr>
            <w:tcW w:w="2552" w:type="dxa"/>
          </w:tcPr>
          <w:p w:rsidR="00711515" w:rsidRPr="004C2769" w:rsidRDefault="00711515" w:rsidP="008427DD">
            <w:pPr>
              <w:pStyle w:val="NoSpacing"/>
              <w:jc w:val="center"/>
              <w:rPr>
                <w:rFonts w:cstheme="minorHAnsi"/>
              </w:rPr>
            </w:pPr>
            <w:r w:rsidRPr="004C2769">
              <w:rPr>
                <w:rFonts w:cstheme="minorHAnsi"/>
              </w:rPr>
              <w:t>Nil</w:t>
            </w:r>
          </w:p>
        </w:tc>
      </w:tr>
    </w:tbl>
    <w:p w:rsidR="00711515" w:rsidRPr="004C2769" w:rsidRDefault="00711515" w:rsidP="00711515">
      <w:pPr>
        <w:pStyle w:val="NoSpacing"/>
        <w:ind w:left="720"/>
        <w:jc w:val="both"/>
        <w:rPr>
          <w:rFonts w:cstheme="minorHAnsi"/>
        </w:rPr>
      </w:pPr>
    </w:p>
    <w:p w:rsidR="00421E77" w:rsidRDefault="00421E77" w:rsidP="00923378">
      <w:pPr>
        <w:ind w:firstLine="720"/>
        <w:jc w:val="both"/>
        <w:rPr>
          <w:rFonts w:cstheme="minorHAnsi"/>
          <w:b/>
          <w:color w:val="FFFF00"/>
          <w:sz w:val="24"/>
          <w:szCs w:val="24"/>
          <w:highlight w:val="darkYellow"/>
        </w:rPr>
      </w:pPr>
    </w:p>
    <w:p w:rsidR="00711515" w:rsidRPr="00923378" w:rsidRDefault="004538F8" w:rsidP="00923378">
      <w:pPr>
        <w:ind w:firstLine="720"/>
        <w:jc w:val="both"/>
        <w:rPr>
          <w:rFonts w:cstheme="minorHAnsi"/>
          <w:b/>
          <w:color w:val="FFFF00"/>
          <w:sz w:val="24"/>
          <w:szCs w:val="24"/>
        </w:rPr>
      </w:pPr>
      <w:r w:rsidRPr="00D7288E">
        <w:rPr>
          <w:rFonts w:cstheme="minorHAnsi"/>
          <w:b/>
          <w:sz w:val="24"/>
          <w:szCs w:val="24"/>
        </w:rPr>
        <w:t>3.4</w:t>
      </w:r>
      <w:r w:rsidRPr="00D7288E">
        <w:rPr>
          <w:rFonts w:cstheme="minorHAnsi"/>
          <w:b/>
          <w:color w:val="FFFF00"/>
          <w:sz w:val="24"/>
          <w:szCs w:val="24"/>
        </w:rPr>
        <w:t xml:space="preserve"> </w:t>
      </w:r>
      <w:r w:rsidR="00711515" w:rsidRPr="00D86288">
        <w:rPr>
          <w:rFonts w:cstheme="minorHAnsi"/>
          <w:b/>
          <w:color w:val="FFFF00"/>
          <w:sz w:val="24"/>
          <w:szCs w:val="24"/>
          <w:highlight w:val="darkGreen"/>
        </w:rPr>
        <w:t>ADJUDICATION OF DISPUTES AND DIFFERENCES</w:t>
      </w:r>
    </w:p>
    <w:p w:rsidR="00711515" w:rsidRDefault="00711515" w:rsidP="00711515">
      <w:pPr>
        <w:ind w:left="720"/>
        <w:jc w:val="both"/>
        <w:rPr>
          <w:rFonts w:cstheme="minorHAnsi"/>
          <w:sz w:val="24"/>
          <w:szCs w:val="24"/>
        </w:rPr>
      </w:pPr>
      <w:r w:rsidRPr="004C2769">
        <w:rPr>
          <w:rFonts w:cstheme="minorHAnsi"/>
          <w:sz w:val="24"/>
          <w:szCs w:val="24"/>
        </w:rPr>
        <w:t>No any cases of differences or disputes were reported befo</w:t>
      </w:r>
      <w:r w:rsidR="00923378">
        <w:rPr>
          <w:rFonts w:cstheme="minorHAnsi"/>
          <w:sz w:val="24"/>
          <w:szCs w:val="24"/>
        </w:rPr>
        <w:t>re the Commission during FY 2014-15</w:t>
      </w:r>
      <w:r w:rsidRPr="004C2769">
        <w:rPr>
          <w:rFonts w:cstheme="minorHAnsi"/>
          <w:sz w:val="24"/>
          <w:szCs w:val="24"/>
        </w:rPr>
        <w:t>.</w:t>
      </w:r>
    </w:p>
    <w:p w:rsidR="001B777D" w:rsidRDefault="001B777D" w:rsidP="00711515">
      <w:pPr>
        <w:ind w:left="720"/>
        <w:jc w:val="both"/>
        <w:rPr>
          <w:rFonts w:cstheme="minorHAnsi"/>
          <w:sz w:val="24"/>
          <w:szCs w:val="24"/>
        </w:rPr>
      </w:pPr>
    </w:p>
    <w:p w:rsidR="00421E77" w:rsidRDefault="00421E77" w:rsidP="00711515">
      <w:pPr>
        <w:ind w:left="720"/>
        <w:jc w:val="both"/>
        <w:rPr>
          <w:rFonts w:cstheme="minorHAnsi"/>
          <w:sz w:val="24"/>
          <w:szCs w:val="24"/>
        </w:rPr>
      </w:pPr>
    </w:p>
    <w:p w:rsidR="00421E77" w:rsidRDefault="00421E77" w:rsidP="00711515">
      <w:pPr>
        <w:ind w:left="720"/>
        <w:jc w:val="both"/>
        <w:rPr>
          <w:rFonts w:cstheme="minorHAnsi"/>
          <w:sz w:val="24"/>
          <w:szCs w:val="24"/>
        </w:rPr>
      </w:pPr>
    </w:p>
    <w:p w:rsidR="00421E77" w:rsidRDefault="00421E77" w:rsidP="00711515">
      <w:pPr>
        <w:ind w:left="720"/>
        <w:jc w:val="both"/>
        <w:rPr>
          <w:rFonts w:cstheme="minorHAnsi"/>
          <w:sz w:val="24"/>
          <w:szCs w:val="24"/>
        </w:rPr>
      </w:pPr>
    </w:p>
    <w:p w:rsidR="00421E77" w:rsidRDefault="00421E77" w:rsidP="00711515">
      <w:pPr>
        <w:ind w:left="720"/>
        <w:jc w:val="both"/>
        <w:rPr>
          <w:rFonts w:cstheme="minorHAnsi"/>
          <w:sz w:val="24"/>
          <w:szCs w:val="24"/>
        </w:rPr>
      </w:pPr>
    </w:p>
    <w:p w:rsidR="001214C2" w:rsidRDefault="001214C2" w:rsidP="00711515">
      <w:pPr>
        <w:ind w:left="720"/>
        <w:jc w:val="both"/>
        <w:rPr>
          <w:rFonts w:cstheme="minorHAnsi"/>
          <w:sz w:val="24"/>
          <w:szCs w:val="24"/>
        </w:rPr>
      </w:pPr>
    </w:p>
    <w:p w:rsidR="00421E77" w:rsidRDefault="00421E77" w:rsidP="00C6085F">
      <w:pPr>
        <w:jc w:val="both"/>
        <w:rPr>
          <w:rFonts w:cstheme="minorHAnsi"/>
          <w:sz w:val="24"/>
          <w:szCs w:val="24"/>
        </w:rPr>
      </w:pPr>
    </w:p>
    <w:p w:rsidR="00421E77" w:rsidRPr="00C6085F" w:rsidRDefault="0055700E" w:rsidP="00801D13">
      <w:pPr>
        <w:ind w:left="720"/>
        <w:jc w:val="center"/>
        <w:rPr>
          <w:rFonts w:cstheme="minorHAnsi"/>
          <w:b/>
          <w:sz w:val="28"/>
          <w:szCs w:val="28"/>
        </w:rPr>
      </w:pPr>
      <w:r w:rsidRPr="00C6085F">
        <w:rPr>
          <w:rFonts w:cstheme="minorHAnsi"/>
          <w:b/>
          <w:sz w:val="28"/>
          <w:szCs w:val="28"/>
        </w:rPr>
        <w:lastRenderedPageBreak/>
        <w:t>CHAPTER-4</w:t>
      </w:r>
    </w:p>
    <w:p w:rsidR="00C6085F" w:rsidRDefault="00C6085F" w:rsidP="001B777D">
      <w:pPr>
        <w:widowControl w:val="0"/>
        <w:autoSpaceDE w:val="0"/>
        <w:autoSpaceDN w:val="0"/>
        <w:adjustRightInd w:val="0"/>
        <w:spacing w:line="360" w:lineRule="auto"/>
        <w:jc w:val="both"/>
        <w:rPr>
          <w:rFonts w:cstheme="minorHAnsi"/>
          <w:sz w:val="24"/>
          <w:szCs w:val="24"/>
        </w:rPr>
      </w:pPr>
    </w:p>
    <w:p w:rsidR="007216BC" w:rsidRPr="001B777D" w:rsidRDefault="001B777D" w:rsidP="001B777D">
      <w:pPr>
        <w:widowControl w:val="0"/>
        <w:autoSpaceDE w:val="0"/>
        <w:autoSpaceDN w:val="0"/>
        <w:adjustRightInd w:val="0"/>
        <w:spacing w:line="360" w:lineRule="auto"/>
        <w:jc w:val="both"/>
        <w:rPr>
          <w:rFonts w:cstheme="minorHAnsi"/>
          <w:b/>
          <w:bCs/>
          <w:color w:val="FFFF00"/>
          <w:spacing w:val="-1"/>
          <w:szCs w:val="28"/>
        </w:rPr>
      </w:pPr>
      <w:r>
        <w:rPr>
          <w:rFonts w:cstheme="minorHAnsi"/>
          <w:sz w:val="24"/>
          <w:szCs w:val="24"/>
        </w:rPr>
        <w:tab/>
      </w:r>
      <w:r w:rsidR="003F245E">
        <w:rPr>
          <w:rFonts w:cstheme="minorHAnsi"/>
          <w:sz w:val="24"/>
          <w:szCs w:val="24"/>
        </w:rPr>
        <w:t xml:space="preserve"> </w:t>
      </w:r>
      <w:r w:rsidR="003F245E" w:rsidRPr="00D7288E">
        <w:rPr>
          <w:rFonts w:cstheme="minorHAnsi"/>
          <w:b/>
          <w:sz w:val="24"/>
          <w:szCs w:val="24"/>
        </w:rPr>
        <w:t>4.1</w:t>
      </w:r>
      <w:r w:rsidR="003F245E">
        <w:rPr>
          <w:rFonts w:cstheme="minorHAnsi"/>
          <w:sz w:val="24"/>
          <w:szCs w:val="24"/>
        </w:rPr>
        <w:t xml:space="preserve"> </w:t>
      </w:r>
      <w:r w:rsidRPr="00D86288">
        <w:rPr>
          <w:rFonts w:cstheme="minorHAnsi"/>
          <w:b/>
          <w:color w:val="FFFF00"/>
          <w:sz w:val="24"/>
          <w:szCs w:val="24"/>
          <w:highlight w:val="darkGreen"/>
        </w:rPr>
        <w:t>CAGR OF ENERGY SALES</w:t>
      </w:r>
      <w:r w:rsidR="001D5398" w:rsidRPr="00D86288">
        <w:rPr>
          <w:rFonts w:cstheme="minorHAnsi"/>
          <w:b/>
          <w:color w:val="FFFF00"/>
          <w:sz w:val="24"/>
          <w:szCs w:val="24"/>
          <w:highlight w:val="darkGreen"/>
        </w:rPr>
        <w:t xml:space="preserve"> &amp; SPECIFIC MONTHLY CONSUMPTION</w:t>
      </w:r>
      <w:r w:rsidRPr="00D86288">
        <w:rPr>
          <w:rFonts w:cstheme="minorHAnsi"/>
          <w:b/>
          <w:color w:val="FFFF00"/>
          <w:sz w:val="24"/>
          <w:szCs w:val="24"/>
          <w:highlight w:val="darkGreen"/>
        </w:rPr>
        <w:t xml:space="preserve"> IN THE STATE</w:t>
      </w:r>
    </w:p>
    <w:p w:rsidR="001B777D" w:rsidRPr="00C66E6C" w:rsidRDefault="001B777D" w:rsidP="001B777D">
      <w:pPr>
        <w:widowControl w:val="0"/>
        <w:autoSpaceDE w:val="0"/>
        <w:autoSpaceDN w:val="0"/>
        <w:adjustRightInd w:val="0"/>
        <w:spacing w:after="0" w:line="360" w:lineRule="auto"/>
        <w:ind w:left="720"/>
        <w:jc w:val="both"/>
        <w:rPr>
          <w:rFonts w:ascii="Calibri" w:eastAsia="Times New Roman" w:hAnsi="Calibri" w:cs="Times New Roman"/>
          <w:bCs/>
          <w:spacing w:val="-1"/>
          <w:sz w:val="24"/>
          <w:szCs w:val="28"/>
          <w:lang w:val="en-US"/>
        </w:rPr>
      </w:pPr>
      <w:r>
        <w:rPr>
          <w:rFonts w:ascii="Calibri" w:eastAsia="Times New Roman" w:hAnsi="Calibri" w:cs="Times New Roman"/>
          <w:bCs/>
          <w:spacing w:val="-1"/>
          <w:sz w:val="24"/>
          <w:szCs w:val="28"/>
          <w:lang w:val="en-US"/>
        </w:rPr>
        <w:t>R</w:t>
      </w:r>
      <w:r w:rsidRPr="00C66E6C">
        <w:rPr>
          <w:rFonts w:ascii="Calibri" w:eastAsia="Times New Roman" w:hAnsi="Calibri" w:cs="Times New Roman"/>
          <w:bCs/>
          <w:spacing w:val="-1"/>
          <w:sz w:val="24"/>
          <w:szCs w:val="28"/>
          <w:lang w:val="en-US"/>
        </w:rPr>
        <w:t>easonable projection of category</w:t>
      </w:r>
      <w:r>
        <w:rPr>
          <w:rFonts w:ascii="Calibri" w:eastAsia="Times New Roman" w:hAnsi="Calibri" w:cs="Times New Roman"/>
          <w:bCs/>
          <w:spacing w:val="-1"/>
          <w:sz w:val="24"/>
          <w:szCs w:val="28"/>
          <w:lang w:val="en-US"/>
        </w:rPr>
        <w:t>-</w:t>
      </w:r>
      <w:r w:rsidRPr="00C66E6C">
        <w:rPr>
          <w:rFonts w:ascii="Calibri" w:eastAsia="Times New Roman" w:hAnsi="Calibri" w:cs="Times New Roman"/>
          <w:bCs/>
          <w:spacing w:val="-1"/>
          <w:sz w:val="24"/>
          <w:szCs w:val="28"/>
          <w:lang w:val="en-US"/>
        </w:rPr>
        <w:t xml:space="preserve">wise energy sales is essential </w:t>
      </w:r>
      <w:r>
        <w:rPr>
          <w:rFonts w:ascii="Calibri" w:eastAsia="Times New Roman" w:hAnsi="Calibri" w:cs="Times New Roman"/>
          <w:bCs/>
          <w:spacing w:val="-1"/>
          <w:sz w:val="24"/>
          <w:szCs w:val="28"/>
          <w:lang w:val="en-US"/>
        </w:rPr>
        <w:t xml:space="preserve">for determining the </w:t>
      </w:r>
      <w:r w:rsidRPr="00C66E6C">
        <w:rPr>
          <w:rFonts w:ascii="Calibri" w:eastAsia="Times New Roman" w:hAnsi="Calibri" w:cs="Times New Roman"/>
          <w:bCs/>
          <w:spacing w:val="-1"/>
          <w:sz w:val="24"/>
          <w:szCs w:val="28"/>
          <w:lang w:val="en-US"/>
        </w:rPr>
        <w:t xml:space="preserve"> energy required to be purchased and </w:t>
      </w:r>
      <w:r>
        <w:rPr>
          <w:rFonts w:ascii="Calibri" w:eastAsia="Times New Roman" w:hAnsi="Calibri" w:cs="Times New Roman"/>
          <w:bCs/>
          <w:spacing w:val="-1"/>
          <w:sz w:val="24"/>
          <w:szCs w:val="28"/>
          <w:lang w:val="en-US"/>
        </w:rPr>
        <w:t xml:space="preserve"> </w:t>
      </w:r>
      <w:r w:rsidRPr="00C66E6C">
        <w:rPr>
          <w:rFonts w:ascii="Calibri" w:eastAsia="Times New Roman" w:hAnsi="Calibri" w:cs="Times New Roman"/>
          <w:bCs/>
          <w:spacing w:val="-1"/>
          <w:sz w:val="24"/>
          <w:szCs w:val="28"/>
          <w:lang w:val="en-US"/>
        </w:rPr>
        <w:t>likely r</w:t>
      </w:r>
      <w:r>
        <w:rPr>
          <w:rFonts w:ascii="Calibri" w:eastAsia="Times New Roman" w:hAnsi="Calibri" w:cs="Times New Roman"/>
          <w:bCs/>
          <w:spacing w:val="-1"/>
          <w:sz w:val="24"/>
          <w:szCs w:val="28"/>
          <w:lang w:val="en-US"/>
        </w:rPr>
        <w:t xml:space="preserve">evenue by </w:t>
      </w:r>
      <w:r w:rsidRPr="00C66E6C">
        <w:rPr>
          <w:rFonts w:ascii="Calibri" w:eastAsia="Times New Roman" w:hAnsi="Calibri" w:cs="Times New Roman"/>
          <w:bCs/>
          <w:spacing w:val="-1"/>
          <w:sz w:val="24"/>
          <w:szCs w:val="28"/>
          <w:lang w:val="en-US"/>
        </w:rPr>
        <w:t xml:space="preserve"> sale of electricity</w:t>
      </w:r>
      <w:r>
        <w:rPr>
          <w:rFonts w:ascii="Calibri" w:eastAsia="Times New Roman" w:hAnsi="Calibri" w:cs="Times New Roman"/>
          <w:bCs/>
          <w:spacing w:val="-1"/>
          <w:sz w:val="24"/>
          <w:szCs w:val="28"/>
          <w:lang w:val="en-US"/>
        </w:rPr>
        <w:t>. S</w:t>
      </w:r>
      <w:r w:rsidRPr="00C66E6C">
        <w:rPr>
          <w:rFonts w:ascii="Calibri" w:eastAsia="Times New Roman" w:hAnsi="Calibri" w:cs="Times New Roman"/>
          <w:bCs/>
          <w:spacing w:val="-1"/>
          <w:sz w:val="24"/>
          <w:szCs w:val="28"/>
          <w:lang w:val="en-US"/>
        </w:rPr>
        <w:t>ales forecast using the CAGR as the basis for projections is a tried and tested method and is used extensively a</w:t>
      </w:r>
      <w:r>
        <w:rPr>
          <w:rFonts w:ascii="Calibri" w:eastAsia="Times New Roman" w:hAnsi="Calibri" w:cs="Times New Roman"/>
          <w:bCs/>
          <w:spacing w:val="-1"/>
          <w:sz w:val="24"/>
          <w:szCs w:val="28"/>
          <w:lang w:val="en-US"/>
        </w:rPr>
        <w:t>cr</w:t>
      </w:r>
      <w:r w:rsidRPr="00C66E6C">
        <w:rPr>
          <w:rFonts w:ascii="Calibri" w:eastAsia="Times New Roman" w:hAnsi="Calibri" w:cs="Times New Roman"/>
          <w:bCs/>
          <w:spacing w:val="-1"/>
          <w:sz w:val="24"/>
          <w:szCs w:val="28"/>
          <w:lang w:val="en-US"/>
        </w:rPr>
        <w:t xml:space="preserve">oss the states and accepted by the Regulators. </w:t>
      </w:r>
    </w:p>
    <w:p w:rsidR="001B777D" w:rsidRPr="00C66E6C" w:rsidRDefault="001B777D" w:rsidP="001B777D">
      <w:pPr>
        <w:widowControl w:val="0"/>
        <w:tabs>
          <w:tab w:val="left" w:pos="2715"/>
        </w:tabs>
        <w:autoSpaceDE w:val="0"/>
        <w:autoSpaceDN w:val="0"/>
        <w:adjustRightInd w:val="0"/>
        <w:spacing w:after="0" w:line="240" w:lineRule="auto"/>
        <w:ind w:left="851"/>
        <w:jc w:val="both"/>
        <w:rPr>
          <w:rFonts w:ascii="Calibri" w:eastAsia="Times New Roman" w:hAnsi="Calibri" w:cs="Times New Roman"/>
          <w:bCs/>
          <w:spacing w:val="-1"/>
          <w:sz w:val="24"/>
          <w:szCs w:val="28"/>
          <w:lang w:val="en-US"/>
        </w:rPr>
      </w:pPr>
      <w:r w:rsidRPr="00C66E6C">
        <w:rPr>
          <w:rFonts w:ascii="Calibri" w:eastAsia="Times New Roman" w:hAnsi="Calibri" w:cs="Times New Roman"/>
          <w:bCs/>
          <w:spacing w:val="-1"/>
          <w:sz w:val="24"/>
          <w:szCs w:val="28"/>
          <w:lang w:val="en-US"/>
        </w:rPr>
        <w:tab/>
      </w:r>
    </w:p>
    <w:p w:rsidR="001B777D" w:rsidRPr="00C66E6C" w:rsidRDefault="001B777D" w:rsidP="001B777D">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rPr>
      </w:pPr>
      <w:r w:rsidRPr="00C66E6C">
        <w:rPr>
          <w:rFonts w:ascii="Calibri" w:eastAsia="Times New Roman" w:hAnsi="Calibri" w:cs="Times New Roman"/>
          <w:bCs/>
          <w:spacing w:val="-1"/>
          <w:sz w:val="24"/>
          <w:szCs w:val="28"/>
          <w:lang w:val="en-US"/>
        </w:rPr>
        <w:t>The CAGR of</w:t>
      </w:r>
      <w:r>
        <w:rPr>
          <w:rFonts w:ascii="Calibri" w:eastAsia="Times New Roman" w:hAnsi="Calibri" w:cs="Times New Roman"/>
          <w:bCs/>
          <w:spacing w:val="-1"/>
          <w:sz w:val="24"/>
          <w:szCs w:val="28"/>
          <w:lang w:val="en-US"/>
        </w:rPr>
        <w:t xml:space="preserve"> the past energy sales from 2010</w:t>
      </w:r>
      <w:r w:rsidRPr="00C66E6C">
        <w:rPr>
          <w:rFonts w:ascii="Calibri" w:eastAsia="Times New Roman" w:hAnsi="Calibri" w:cs="Times New Roman"/>
          <w:bCs/>
          <w:spacing w:val="-1"/>
          <w:sz w:val="24"/>
          <w:szCs w:val="28"/>
          <w:lang w:val="en-US"/>
        </w:rPr>
        <w:t>-</w:t>
      </w:r>
      <w:r>
        <w:rPr>
          <w:rFonts w:ascii="Calibri" w:eastAsia="Times New Roman" w:hAnsi="Calibri" w:cs="Times New Roman"/>
          <w:bCs/>
          <w:spacing w:val="-1"/>
          <w:sz w:val="24"/>
          <w:szCs w:val="28"/>
          <w:lang w:val="en-US"/>
        </w:rPr>
        <w:t>11 to 2013-14</w:t>
      </w:r>
      <w:r w:rsidRPr="00C66E6C">
        <w:rPr>
          <w:rFonts w:ascii="Calibri" w:eastAsia="Times New Roman" w:hAnsi="Calibri" w:cs="Times New Roman"/>
          <w:bCs/>
          <w:spacing w:val="-1"/>
          <w:sz w:val="24"/>
          <w:szCs w:val="28"/>
          <w:lang w:val="en-US"/>
        </w:rPr>
        <w:t xml:space="preserve"> </w:t>
      </w:r>
      <w:r>
        <w:rPr>
          <w:rFonts w:ascii="Calibri" w:eastAsia="Times New Roman" w:hAnsi="Calibri" w:cs="Times New Roman"/>
          <w:bCs/>
          <w:spacing w:val="-1"/>
          <w:sz w:val="24"/>
          <w:szCs w:val="28"/>
          <w:lang w:val="en-US"/>
        </w:rPr>
        <w:t>is  as  shown</w:t>
      </w:r>
      <w:r w:rsidRPr="00C66E6C">
        <w:rPr>
          <w:rFonts w:ascii="Calibri" w:eastAsia="Times New Roman" w:hAnsi="Calibri" w:cs="Times New Roman"/>
          <w:bCs/>
          <w:spacing w:val="-1"/>
          <w:sz w:val="24"/>
          <w:szCs w:val="28"/>
          <w:lang w:val="en-US"/>
        </w:rPr>
        <w:t xml:space="preserve"> in Table</w:t>
      </w:r>
      <w:r>
        <w:rPr>
          <w:rFonts w:ascii="Calibri" w:eastAsia="Times New Roman" w:hAnsi="Calibri" w:cs="Times New Roman"/>
          <w:bCs/>
          <w:spacing w:val="-1"/>
          <w:sz w:val="24"/>
          <w:szCs w:val="28"/>
          <w:lang w:val="en-US"/>
        </w:rPr>
        <w:t xml:space="preserve"> 1.4</w:t>
      </w:r>
      <w:r w:rsidRPr="00C66E6C">
        <w:rPr>
          <w:rFonts w:ascii="Calibri" w:eastAsia="Times New Roman" w:hAnsi="Calibri" w:cs="Times New Roman"/>
          <w:bCs/>
          <w:spacing w:val="-1"/>
          <w:sz w:val="24"/>
          <w:szCs w:val="28"/>
          <w:lang w:val="en-US"/>
        </w:rPr>
        <w:t xml:space="preserve"> </w:t>
      </w:r>
      <w:r>
        <w:rPr>
          <w:rFonts w:ascii="Calibri" w:eastAsia="Times New Roman" w:hAnsi="Calibri" w:cs="Times New Roman"/>
          <w:bCs/>
          <w:spacing w:val="-1"/>
          <w:sz w:val="24"/>
          <w:szCs w:val="28"/>
          <w:lang w:val="en-US"/>
        </w:rPr>
        <w:t xml:space="preserve"> </w:t>
      </w:r>
      <w:r w:rsidRPr="00C66E6C">
        <w:rPr>
          <w:rFonts w:ascii="Calibri" w:eastAsia="Times New Roman" w:hAnsi="Calibri" w:cs="Times New Roman"/>
          <w:bCs/>
          <w:spacing w:val="-1"/>
          <w:sz w:val="24"/>
          <w:szCs w:val="28"/>
          <w:lang w:val="en-US"/>
        </w:rPr>
        <w:t>below:</w:t>
      </w:r>
    </w:p>
    <w:p w:rsidR="001B777D" w:rsidRDefault="001B777D" w:rsidP="001B777D">
      <w:pPr>
        <w:pStyle w:val="Title"/>
        <w:spacing w:line="240" w:lineRule="auto"/>
        <w:rPr>
          <w:kern w:val="32"/>
          <w:lang w:val="en-US"/>
        </w:rPr>
      </w:pPr>
      <w:bookmarkStart w:id="3" w:name="_Toc383176044"/>
      <w:bookmarkStart w:id="4" w:name="_Toc414367870"/>
      <w:r>
        <w:rPr>
          <w:kern w:val="32"/>
          <w:lang w:val="en-US"/>
        </w:rPr>
        <w:t>Table 1.4</w:t>
      </w:r>
      <w:r w:rsidRPr="00C66E6C">
        <w:rPr>
          <w:kern w:val="32"/>
          <w:lang w:val="en-US"/>
        </w:rPr>
        <w:t>: CAGR of energy sales</w:t>
      </w:r>
      <w:bookmarkEnd w:id="3"/>
      <w:bookmarkEnd w:id="4"/>
      <w:r>
        <w:rPr>
          <w:kern w:val="32"/>
          <w:lang w:val="en-US"/>
        </w:rPr>
        <w:t xml:space="preserve"> </w:t>
      </w:r>
    </w:p>
    <w:tbl>
      <w:tblPr>
        <w:tblpPr w:leftFromText="180" w:rightFromText="180" w:vertAnchor="text" w:horzAnchor="page" w:tblpX="2356" w:tblpY="195"/>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7"/>
        <w:gridCol w:w="1218"/>
        <w:gridCol w:w="966"/>
        <w:gridCol w:w="966"/>
        <w:gridCol w:w="966"/>
        <w:gridCol w:w="1144"/>
        <w:gridCol w:w="851"/>
        <w:gridCol w:w="850"/>
        <w:gridCol w:w="992"/>
      </w:tblGrid>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Sl. No.</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Energy Sales</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(MU)</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2010-11</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(Act)</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2011-12</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(Act)</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2012-13</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(Act)</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2013-14</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(Act)</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CAGR for</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3 years</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from</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10-11</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To</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13-14</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CAGR for</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2 years</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from</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11-12</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To</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13-14</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CAGR for</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12-13</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To</w:t>
            </w:r>
          </w:p>
          <w:p w:rsidR="001B777D" w:rsidRPr="00C66E6C" w:rsidRDefault="001B777D" w:rsidP="001B777D">
            <w:pPr>
              <w:spacing w:after="0" w:line="240" w:lineRule="auto"/>
              <w:jc w:val="center"/>
              <w:rPr>
                <w:rFonts w:ascii="Calibri" w:eastAsia="Arial Unicode MS" w:hAnsi="Calibri" w:cs="Arial"/>
                <w:b/>
                <w:bCs/>
                <w:sz w:val="16"/>
                <w:szCs w:val="18"/>
                <w:lang w:val="en-US"/>
              </w:rPr>
            </w:pPr>
            <w:r>
              <w:rPr>
                <w:rFonts w:ascii="Calibri" w:eastAsia="Arial Unicode MS" w:hAnsi="Calibri" w:cs="Arial"/>
                <w:b/>
                <w:bCs/>
                <w:sz w:val="16"/>
                <w:szCs w:val="18"/>
                <w:lang w:val="en-US"/>
              </w:rPr>
              <w:t>FY 13-14</w:t>
            </w:r>
          </w:p>
          <w:p w:rsidR="001B777D" w:rsidRPr="00C66E6C" w:rsidRDefault="001B777D" w:rsidP="001B777D">
            <w:pPr>
              <w:spacing w:after="0" w:line="240" w:lineRule="auto"/>
              <w:jc w:val="center"/>
              <w:rPr>
                <w:rFonts w:ascii="Calibri" w:eastAsia="Arial Unicode MS" w:hAnsi="Calibri" w:cs="Arial"/>
                <w:b/>
                <w:bCs/>
                <w:sz w:val="16"/>
                <w:szCs w:val="18"/>
                <w:lang w:val="en-US"/>
              </w:rPr>
            </w:pPr>
            <w:r w:rsidRPr="00C66E6C">
              <w:rPr>
                <w:rFonts w:ascii="Calibri" w:eastAsia="Arial Unicode MS" w:hAnsi="Calibri" w:cs="Arial"/>
                <w:b/>
                <w:bCs/>
                <w:sz w:val="16"/>
                <w:szCs w:val="18"/>
                <w:lang w:val="en-US"/>
              </w:rPr>
              <w:t>(%)</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1</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Domestic</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57.97</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82.77</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78.98</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83.98</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13.15</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0.73</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6.33</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2</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Commercial</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29.23</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29.72</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38.26</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35.43</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6.62</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9.18</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(7.40)</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3</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Public lighting</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2.60</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2.30</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0.43</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0.35</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(48.75)</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(60.99)</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(18.60)</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4</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Temporary Supply</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0.15</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0.30</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0.09</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1.61</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120.59</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131.66</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1688.89</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5</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 xml:space="preserve">HT Industrial </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58.39</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71.63</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91.76</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97.11</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17.48</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16.44</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5.83</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6</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LT Industrial</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1.31</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8.63</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1.15</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1.15</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(4.25)</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(63.50)</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0.00</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sidRPr="00C66E6C">
              <w:rPr>
                <w:rFonts w:ascii="Calibri" w:eastAsia="Times New Roman" w:hAnsi="Calibri" w:cs="Arial"/>
                <w:sz w:val="18"/>
                <w:szCs w:val="18"/>
                <w:lang w:val="en-US"/>
              </w:rPr>
              <w:t>7</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sz w:val="18"/>
                <w:szCs w:val="18"/>
                <w:lang w:val="en-US"/>
              </w:rPr>
            </w:pPr>
            <w:r w:rsidRPr="00C66E6C">
              <w:rPr>
                <w:rFonts w:ascii="Calibri" w:eastAsia="Times New Roman" w:hAnsi="Calibri" w:cs="Arial"/>
                <w:sz w:val="18"/>
                <w:szCs w:val="18"/>
                <w:lang w:val="en-US"/>
              </w:rPr>
              <w:t>Bulk Supply</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13.35</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13.21</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16.23</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17.74</w:t>
            </w:r>
          </w:p>
        </w:tc>
        <w:tc>
          <w:tcPr>
            <w:tcW w:w="851"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9.94</w:t>
            </w:r>
          </w:p>
        </w:tc>
        <w:tc>
          <w:tcPr>
            <w:tcW w:w="850"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15.88</w:t>
            </w:r>
          </w:p>
        </w:tc>
        <w:tc>
          <w:tcPr>
            <w:tcW w:w="992" w:type="dxa"/>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sz w:val="18"/>
                <w:szCs w:val="18"/>
                <w:lang w:val="en-US"/>
              </w:rPr>
            </w:pPr>
            <w:r>
              <w:rPr>
                <w:rFonts w:ascii="Calibri" w:eastAsia="Arial Unicode MS" w:hAnsi="Calibri" w:cs="Arial"/>
                <w:sz w:val="18"/>
                <w:szCs w:val="18"/>
                <w:lang w:val="en-US"/>
              </w:rPr>
              <w:t>9.30</w:t>
            </w:r>
          </w:p>
        </w:tc>
      </w:tr>
      <w:tr w:rsidR="001B777D" w:rsidRPr="00C66E6C" w:rsidTr="001B777D">
        <w:trPr>
          <w:trHeight w:val="480"/>
        </w:trPr>
        <w:tc>
          <w:tcPr>
            <w:tcW w:w="567"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r w:rsidRPr="00C66E6C">
              <w:rPr>
                <w:rFonts w:ascii="Calibri" w:eastAsia="Arial Unicode MS" w:hAnsi="Calibri" w:cs="Arial"/>
                <w:b/>
                <w:bCs/>
                <w:sz w:val="18"/>
                <w:szCs w:val="18"/>
                <w:lang w:val="en-US"/>
              </w:rPr>
              <w:t>8</w:t>
            </w:r>
          </w:p>
        </w:tc>
        <w:tc>
          <w:tcPr>
            <w:tcW w:w="1218" w:type="dxa"/>
            <w:noWrap/>
            <w:tcMar>
              <w:top w:w="15" w:type="dxa"/>
              <w:left w:w="15" w:type="dxa"/>
              <w:bottom w:w="0" w:type="dxa"/>
              <w:right w:w="15" w:type="dxa"/>
            </w:tcMar>
            <w:vAlign w:val="center"/>
          </w:tcPr>
          <w:p w:rsidR="001B777D" w:rsidRPr="00C66E6C" w:rsidRDefault="001B777D" w:rsidP="001B777D">
            <w:pPr>
              <w:spacing w:after="0" w:line="240" w:lineRule="auto"/>
              <w:jc w:val="both"/>
              <w:rPr>
                <w:rFonts w:ascii="Calibri" w:eastAsia="Arial Unicode MS" w:hAnsi="Calibri" w:cs="Arial"/>
                <w:b/>
                <w:bCs/>
                <w:sz w:val="18"/>
                <w:szCs w:val="18"/>
                <w:lang w:val="en-US"/>
              </w:rPr>
            </w:pPr>
            <w:r w:rsidRPr="00C66E6C">
              <w:rPr>
                <w:rFonts w:ascii="Calibri" w:eastAsia="Times New Roman" w:hAnsi="Calibri" w:cs="Arial"/>
                <w:b/>
                <w:bCs/>
                <w:sz w:val="18"/>
                <w:szCs w:val="18"/>
                <w:lang w:val="en-US"/>
              </w:rPr>
              <w:t xml:space="preserve">Total </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r>
              <w:rPr>
                <w:rFonts w:ascii="Calibri" w:eastAsia="Arial Unicode MS" w:hAnsi="Calibri" w:cs="Arial"/>
                <w:b/>
                <w:bCs/>
                <w:sz w:val="18"/>
                <w:szCs w:val="18"/>
                <w:lang w:val="en-US"/>
              </w:rPr>
              <w:t>163.00</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r>
              <w:rPr>
                <w:rFonts w:ascii="Calibri" w:eastAsia="Arial Unicode MS" w:hAnsi="Calibri" w:cs="Arial"/>
                <w:b/>
                <w:bCs/>
                <w:sz w:val="18"/>
                <w:szCs w:val="18"/>
                <w:lang w:val="en-US"/>
              </w:rPr>
              <w:t>208.56</w:t>
            </w:r>
          </w:p>
        </w:tc>
        <w:tc>
          <w:tcPr>
            <w:tcW w:w="0" w:type="auto"/>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r>
              <w:rPr>
                <w:rFonts w:ascii="Calibri" w:eastAsia="Arial Unicode MS" w:hAnsi="Calibri" w:cs="Arial"/>
                <w:b/>
                <w:bCs/>
                <w:sz w:val="18"/>
                <w:szCs w:val="18"/>
                <w:lang w:val="en-US"/>
              </w:rPr>
              <w:t>226.90</w:t>
            </w:r>
          </w:p>
        </w:tc>
        <w:tc>
          <w:tcPr>
            <w:tcW w:w="1144"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r>
              <w:rPr>
                <w:rFonts w:ascii="Calibri" w:eastAsia="Arial Unicode MS" w:hAnsi="Calibri" w:cs="Arial"/>
                <w:b/>
                <w:bCs/>
                <w:sz w:val="18"/>
                <w:szCs w:val="18"/>
                <w:lang w:val="en-US"/>
              </w:rPr>
              <w:t>237.37</w:t>
            </w:r>
          </w:p>
        </w:tc>
        <w:tc>
          <w:tcPr>
            <w:tcW w:w="851"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p>
        </w:tc>
        <w:tc>
          <w:tcPr>
            <w:tcW w:w="850"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p>
        </w:tc>
        <w:tc>
          <w:tcPr>
            <w:tcW w:w="992" w:type="dxa"/>
            <w:noWrap/>
            <w:tcMar>
              <w:top w:w="15" w:type="dxa"/>
              <w:left w:w="15" w:type="dxa"/>
              <w:bottom w:w="0" w:type="dxa"/>
              <w:right w:w="15" w:type="dxa"/>
            </w:tcMar>
            <w:vAlign w:val="center"/>
          </w:tcPr>
          <w:p w:rsidR="001B777D" w:rsidRPr="00C66E6C" w:rsidRDefault="001B777D" w:rsidP="001B777D">
            <w:pPr>
              <w:spacing w:after="0" w:line="240" w:lineRule="auto"/>
              <w:jc w:val="center"/>
              <w:rPr>
                <w:rFonts w:ascii="Calibri" w:eastAsia="Arial Unicode MS" w:hAnsi="Calibri" w:cs="Arial"/>
                <w:b/>
                <w:bCs/>
                <w:sz w:val="18"/>
                <w:szCs w:val="18"/>
                <w:lang w:val="en-US"/>
              </w:rPr>
            </w:pPr>
          </w:p>
        </w:tc>
      </w:tr>
    </w:tbl>
    <w:p w:rsidR="001B777D" w:rsidRPr="00E5209E" w:rsidRDefault="001B777D" w:rsidP="001B777D">
      <w:pPr>
        <w:rPr>
          <w:lang w:val="en-US"/>
        </w:rPr>
      </w:pPr>
    </w:p>
    <w:p w:rsidR="001B777D" w:rsidRPr="007E11B5" w:rsidRDefault="001B777D" w:rsidP="001B777D">
      <w:pPr>
        <w:rPr>
          <w:sz w:val="2"/>
          <w:lang w:val="en-US"/>
        </w:rPr>
      </w:pPr>
    </w:p>
    <w:p w:rsidR="001B777D" w:rsidRDefault="001B777D" w:rsidP="001B777D">
      <w:pPr>
        <w:pStyle w:val="Title"/>
        <w:spacing w:line="240" w:lineRule="auto"/>
        <w:ind w:left="0"/>
        <w:jc w:val="left"/>
        <w:rPr>
          <w:kern w:val="32"/>
          <w:lang w:val="en-US"/>
        </w:rPr>
      </w:pPr>
      <w:bookmarkStart w:id="5" w:name="_Toc383176045"/>
      <w:bookmarkStart w:id="6" w:name="_Toc414367871"/>
    </w:p>
    <w:p w:rsidR="001B777D" w:rsidRDefault="001B777D" w:rsidP="001B777D">
      <w:pPr>
        <w:tabs>
          <w:tab w:val="left" w:pos="2445"/>
        </w:tabs>
        <w:rPr>
          <w:lang w:val="en-US"/>
        </w:rPr>
      </w:pPr>
      <w:r>
        <w:rPr>
          <w:lang w:val="en-US"/>
        </w:rPr>
        <w:tab/>
      </w:r>
    </w:p>
    <w:p w:rsidR="001B777D" w:rsidRDefault="001B777D" w:rsidP="001B777D">
      <w:pPr>
        <w:tabs>
          <w:tab w:val="left" w:pos="2445"/>
        </w:tabs>
        <w:rPr>
          <w:lang w:val="en-US"/>
        </w:rPr>
      </w:pPr>
    </w:p>
    <w:p w:rsidR="001B777D" w:rsidRDefault="001B777D" w:rsidP="001B777D">
      <w:pPr>
        <w:tabs>
          <w:tab w:val="left" w:pos="2445"/>
        </w:tabs>
        <w:rPr>
          <w:lang w:val="en-US"/>
        </w:rPr>
      </w:pPr>
    </w:p>
    <w:p w:rsidR="001B777D" w:rsidRPr="00E5209E" w:rsidRDefault="001B777D" w:rsidP="001B777D">
      <w:pPr>
        <w:tabs>
          <w:tab w:val="left" w:pos="2445"/>
        </w:tabs>
        <w:rPr>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1B777D">
      <w:pPr>
        <w:pStyle w:val="Title"/>
        <w:spacing w:line="240" w:lineRule="auto"/>
        <w:rPr>
          <w:kern w:val="32"/>
          <w:lang w:val="en-US"/>
        </w:rPr>
      </w:pPr>
    </w:p>
    <w:p w:rsidR="001B777D" w:rsidRDefault="001B777D" w:rsidP="00486C5D">
      <w:pPr>
        <w:pStyle w:val="Title"/>
        <w:spacing w:line="240" w:lineRule="auto"/>
        <w:ind w:left="0"/>
        <w:jc w:val="left"/>
        <w:rPr>
          <w:kern w:val="32"/>
          <w:lang w:val="en-US"/>
        </w:rPr>
      </w:pPr>
    </w:p>
    <w:p w:rsidR="001B777D" w:rsidRDefault="001D5398" w:rsidP="001B777D">
      <w:pPr>
        <w:pStyle w:val="Title"/>
        <w:spacing w:line="240" w:lineRule="auto"/>
        <w:rPr>
          <w:kern w:val="32"/>
          <w:lang w:val="en-US"/>
        </w:rPr>
      </w:pPr>
      <w:r>
        <w:rPr>
          <w:kern w:val="32"/>
          <w:lang w:val="en-US"/>
        </w:rPr>
        <w:t>Table 1</w:t>
      </w:r>
      <w:r w:rsidR="001B777D" w:rsidRPr="00C66E6C">
        <w:rPr>
          <w:kern w:val="32"/>
          <w:lang w:val="en-US"/>
        </w:rPr>
        <w:t>.</w:t>
      </w:r>
      <w:r w:rsidR="00836CEB">
        <w:rPr>
          <w:kern w:val="32"/>
          <w:lang w:val="en-US"/>
        </w:rPr>
        <w:t>5</w:t>
      </w:r>
      <w:r w:rsidR="001B777D" w:rsidRPr="00C66E6C">
        <w:rPr>
          <w:kern w:val="32"/>
          <w:lang w:val="en-US"/>
        </w:rPr>
        <w:t xml:space="preserve">: Specific </w:t>
      </w:r>
      <w:r w:rsidR="001B777D">
        <w:rPr>
          <w:kern w:val="32"/>
          <w:lang w:val="en-US"/>
        </w:rPr>
        <w:t xml:space="preserve">Monthly </w:t>
      </w:r>
      <w:r w:rsidR="001B777D" w:rsidRPr="00C66E6C">
        <w:rPr>
          <w:kern w:val="32"/>
          <w:lang w:val="en-US"/>
        </w:rPr>
        <w:t>Consumption during FY 2012-13</w:t>
      </w:r>
      <w:bookmarkEnd w:id="5"/>
      <w:r w:rsidR="001B777D">
        <w:rPr>
          <w:kern w:val="32"/>
          <w:lang w:val="en-US"/>
        </w:rPr>
        <w:t xml:space="preserve"> and FY 2013-14</w:t>
      </w:r>
      <w:bookmarkEnd w:id="6"/>
    </w:p>
    <w:p w:rsidR="001B777D" w:rsidRPr="00C66E6C" w:rsidRDefault="001B777D" w:rsidP="001B777D">
      <w:pPr>
        <w:pStyle w:val="Title"/>
        <w:rPr>
          <w:kern w:val="32"/>
          <w:lang w:val="en-US"/>
        </w:rPr>
      </w:pPr>
    </w:p>
    <w:tbl>
      <w:tblPr>
        <w:tblW w:w="6729"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1869"/>
        <w:gridCol w:w="2126"/>
        <w:gridCol w:w="1843"/>
      </w:tblGrid>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b/>
                <w:bCs/>
                <w:szCs w:val="24"/>
                <w:lang w:val="en-US"/>
              </w:rPr>
            </w:pPr>
            <w:r w:rsidRPr="00C66E6C">
              <w:rPr>
                <w:rFonts w:ascii="Calibri" w:eastAsia="Times New Roman" w:hAnsi="Calibri" w:cs="Times New Roman"/>
                <w:b/>
                <w:bCs/>
                <w:szCs w:val="24"/>
                <w:lang w:val="en-US"/>
              </w:rPr>
              <w:t>SI. No.</w:t>
            </w:r>
          </w:p>
        </w:tc>
        <w:tc>
          <w:tcPr>
            <w:tcW w:w="1869" w:type="dxa"/>
          </w:tcPr>
          <w:p w:rsidR="001B777D" w:rsidRPr="00C66E6C" w:rsidRDefault="001B777D" w:rsidP="008427DD">
            <w:pPr>
              <w:spacing w:after="0" w:line="240" w:lineRule="auto"/>
              <w:jc w:val="both"/>
              <w:rPr>
                <w:rFonts w:ascii="Calibri" w:eastAsia="Times New Roman" w:hAnsi="Calibri" w:cs="Times New Roman"/>
                <w:b/>
                <w:bCs/>
                <w:szCs w:val="24"/>
                <w:lang w:val="en-US"/>
              </w:rPr>
            </w:pPr>
            <w:r w:rsidRPr="00C66E6C">
              <w:rPr>
                <w:rFonts w:ascii="Calibri" w:eastAsia="Times New Roman" w:hAnsi="Calibri" w:cs="Times New Roman"/>
                <w:b/>
                <w:bCs/>
                <w:szCs w:val="24"/>
                <w:lang w:val="en-US"/>
              </w:rPr>
              <w:t>Category</w:t>
            </w:r>
          </w:p>
        </w:tc>
        <w:tc>
          <w:tcPr>
            <w:tcW w:w="2126" w:type="dxa"/>
          </w:tcPr>
          <w:p w:rsidR="001B777D" w:rsidRPr="00C66E6C" w:rsidRDefault="001B777D" w:rsidP="008427DD">
            <w:pPr>
              <w:spacing w:after="0" w:line="240" w:lineRule="auto"/>
              <w:jc w:val="center"/>
              <w:rPr>
                <w:rFonts w:ascii="Calibri" w:eastAsia="Times New Roman" w:hAnsi="Calibri" w:cs="Times New Roman"/>
                <w:b/>
                <w:bCs/>
                <w:szCs w:val="24"/>
                <w:lang w:val="en-US"/>
              </w:rPr>
            </w:pPr>
            <w:r w:rsidRPr="00C66E6C">
              <w:rPr>
                <w:rFonts w:ascii="Calibri" w:eastAsia="Times New Roman" w:hAnsi="Calibri" w:cs="Times New Roman"/>
                <w:b/>
                <w:bCs/>
                <w:szCs w:val="24"/>
                <w:lang w:val="en-US"/>
              </w:rPr>
              <w:t>FY 2012-13</w:t>
            </w:r>
          </w:p>
        </w:tc>
        <w:tc>
          <w:tcPr>
            <w:tcW w:w="1843" w:type="dxa"/>
          </w:tcPr>
          <w:p w:rsidR="001B777D" w:rsidRPr="00C66E6C" w:rsidRDefault="001B777D" w:rsidP="008427DD">
            <w:pPr>
              <w:spacing w:after="0" w:line="240" w:lineRule="auto"/>
              <w:jc w:val="center"/>
              <w:rPr>
                <w:rFonts w:ascii="Calibri" w:eastAsia="Times New Roman" w:hAnsi="Calibri" w:cs="Times New Roman"/>
                <w:b/>
                <w:bCs/>
                <w:szCs w:val="24"/>
                <w:lang w:val="en-US"/>
              </w:rPr>
            </w:pPr>
            <w:r>
              <w:rPr>
                <w:rFonts w:ascii="Calibri" w:eastAsia="Times New Roman" w:hAnsi="Calibri" w:cs="Times New Roman"/>
                <w:b/>
                <w:bCs/>
                <w:szCs w:val="24"/>
                <w:lang w:val="en-US"/>
              </w:rPr>
              <w:t>FY 2013-14</w:t>
            </w:r>
          </w:p>
        </w:tc>
      </w:tr>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1</w:t>
            </w:r>
          </w:p>
        </w:tc>
        <w:tc>
          <w:tcPr>
            <w:tcW w:w="1869" w:type="dxa"/>
          </w:tcPr>
          <w:p w:rsidR="001B777D" w:rsidRPr="00C66E6C" w:rsidRDefault="001B777D" w:rsidP="008427DD">
            <w:pPr>
              <w:spacing w:after="0" w:line="240" w:lineRule="auto"/>
              <w:jc w:val="both"/>
              <w:rPr>
                <w:rFonts w:ascii="Calibri" w:eastAsia="Times New Roman" w:hAnsi="Calibri" w:cs="Times New Roman"/>
                <w:szCs w:val="24"/>
                <w:lang w:val="en-US"/>
              </w:rPr>
            </w:pPr>
            <w:r w:rsidRPr="00C66E6C">
              <w:rPr>
                <w:rFonts w:ascii="Calibri" w:eastAsia="Times New Roman" w:hAnsi="Calibri" w:cs="Times New Roman"/>
                <w:szCs w:val="24"/>
                <w:lang w:val="en-US"/>
              </w:rPr>
              <w:t>Domestic</w:t>
            </w:r>
          </w:p>
        </w:tc>
        <w:tc>
          <w:tcPr>
            <w:tcW w:w="2126"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80</w:t>
            </w:r>
            <w:r>
              <w:rPr>
                <w:rFonts w:ascii="Calibri" w:eastAsia="Times New Roman" w:hAnsi="Calibri" w:cs="Times New Roman"/>
                <w:szCs w:val="24"/>
                <w:lang w:val="en-US"/>
              </w:rPr>
              <w:t>.00</w:t>
            </w:r>
          </w:p>
        </w:tc>
        <w:tc>
          <w:tcPr>
            <w:tcW w:w="1843" w:type="dxa"/>
          </w:tcPr>
          <w:p w:rsidR="001B777D" w:rsidRPr="00C66E6C" w:rsidRDefault="001B777D" w:rsidP="008427DD">
            <w:pPr>
              <w:spacing w:after="0" w:line="240" w:lineRule="auto"/>
              <w:jc w:val="center"/>
              <w:rPr>
                <w:rFonts w:ascii="Calibri" w:eastAsia="Times New Roman" w:hAnsi="Calibri" w:cs="Times New Roman"/>
                <w:szCs w:val="24"/>
                <w:lang w:val="en-US"/>
              </w:rPr>
            </w:pPr>
            <w:r>
              <w:rPr>
                <w:rFonts w:ascii="Calibri" w:eastAsia="Times New Roman" w:hAnsi="Calibri" w:cs="Times New Roman"/>
                <w:szCs w:val="24"/>
                <w:lang w:val="en-US"/>
              </w:rPr>
              <w:t>83.00</w:t>
            </w:r>
          </w:p>
        </w:tc>
      </w:tr>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2</w:t>
            </w:r>
          </w:p>
        </w:tc>
        <w:tc>
          <w:tcPr>
            <w:tcW w:w="1869" w:type="dxa"/>
          </w:tcPr>
          <w:p w:rsidR="001B777D" w:rsidRPr="00C66E6C" w:rsidRDefault="001B777D" w:rsidP="008427DD">
            <w:pPr>
              <w:spacing w:after="0" w:line="240" w:lineRule="auto"/>
              <w:jc w:val="both"/>
              <w:rPr>
                <w:rFonts w:ascii="Calibri" w:eastAsia="Times New Roman" w:hAnsi="Calibri" w:cs="Times New Roman"/>
                <w:szCs w:val="24"/>
                <w:lang w:val="en-US"/>
              </w:rPr>
            </w:pPr>
            <w:r w:rsidRPr="00C66E6C">
              <w:rPr>
                <w:rFonts w:ascii="Calibri" w:eastAsia="Times New Roman" w:hAnsi="Calibri" w:cs="Times New Roman"/>
                <w:szCs w:val="24"/>
                <w:lang w:val="en-US"/>
              </w:rPr>
              <w:t>Commercial</w:t>
            </w:r>
          </w:p>
        </w:tc>
        <w:tc>
          <w:tcPr>
            <w:tcW w:w="2126"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330</w:t>
            </w:r>
            <w:r>
              <w:rPr>
                <w:rFonts w:ascii="Calibri" w:eastAsia="Times New Roman" w:hAnsi="Calibri" w:cs="Times New Roman"/>
                <w:szCs w:val="24"/>
                <w:lang w:val="en-US"/>
              </w:rPr>
              <w:t>.00</w:t>
            </w:r>
          </w:p>
        </w:tc>
        <w:tc>
          <w:tcPr>
            <w:tcW w:w="1843" w:type="dxa"/>
          </w:tcPr>
          <w:p w:rsidR="001B777D" w:rsidRPr="00C66E6C" w:rsidRDefault="001B777D" w:rsidP="008427DD">
            <w:pPr>
              <w:spacing w:after="0" w:line="240" w:lineRule="auto"/>
              <w:jc w:val="center"/>
              <w:rPr>
                <w:rFonts w:ascii="Calibri" w:eastAsia="Times New Roman" w:hAnsi="Calibri" w:cs="Times New Roman"/>
                <w:szCs w:val="24"/>
                <w:lang w:val="en-US"/>
              </w:rPr>
            </w:pPr>
            <w:r>
              <w:rPr>
                <w:rFonts w:ascii="Calibri" w:eastAsia="Times New Roman" w:hAnsi="Calibri" w:cs="Times New Roman"/>
                <w:szCs w:val="24"/>
                <w:lang w:val="en-US"/>
              </w:rPr>
              <w:t>287.00</w:t>
            </w:r>
          </w:p>
        </w:tc>
      </w:tr>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3</w:t>
            </w:r>
          </w:p>
        </w:tc>
        <w:tc>
          <w:tcPr>
            <w:tcW w:w="1869" w:type="dxa"/>
          </w:tcPr>
          <w:p w:rsidR="001B777D" w:rsidRPr="00C66E6C" w:rsidRDefault="001B777D" w:rsidP="008427DD">
            <w:pPr>
              <w:spacing w:after="0" w:line="240" w:lineRule="auto"/>
              <w:jc w:val="both"/>
              <w:rPr>
                <w:rFonts w:ascii="Calibri" w:eastAsia="Times New Roman" w:hAnsi="Calibri" w:cs="Times New Roman"/>
                <w:szCs w:val="24"/>
                <w:lang w:val="en-US"/>
              </w:rPr>
            </w:pPr>
            <w:r w:rsidRPr="00C66E6C">
              <w:rPr>
                <w:rFonts w:ascii="Calibri" w:eastAsia="Times New Roman" w:hAnsi="Calibri" w:cs="Times New Roman"/>
                <w:szCs w:val="24"/>
                <w:lang w:val="en-US"/>
              </w:rPr>
              <w:t>Industrial LT</w:t>
            </w:r>
          </w:p>
        </w:tc>
        <w:tc>
          <w:tcPr>
            <w:tcW w:w="2126"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246</w:t>
            </w:r>
            <w:r>
              <w:rPr>
                <w:rFonts w:ascii="Calibri" w:eastAsia="Times New Roman" w:hAnsi="Calibri" w:cs="Times New Roman"/>
                <w:szCs w:val="24"/>
                <w:lang w:val="en-US"/>
              </w:rPr>
              <w:t>.00</w:t>
            </w:r>
          </w:p>
        </w:tc>
        <w:tc>
          <w:tcPr>
            <w:tcW w:w="1843" w:type="dxa"/>
          </w:tcPr>
          <w:p w:rsidR="001B777D" w:rsidRPr="00C66E6C" w:rsidRDefault="001B777D" w:rsidP="008427DD">
            <w:pPr>
              <w:spacing w:after="0" w:line="240" w:lineRule="auto"/>
              <w:jc w:val="center"/>
              <w:rPr>
                <w:rFonts w:ascii="Calibri" w:eastAsia="Times New Roman" w:hAnsi="Calibri" w:cs="Times New Roman"/>
                <w:szCs w:val="24"/>
                <w:lang w:val="en-US"/>
              </w:rPr>
            </w:pPr>
            <w:r>
              <w:rPr>
                <w:rFonts w:ascii="Calibri" w:eastAsia="Times New Roman" w:hAnsi="Calibri" w:cs="Times New Roman"/>
                <w:szCs w:val="24"/>
                <w:lang w:val="en-US"/>
              </w:rPr>
              <w:t>213.00</w:t>
            </w:r>
          </w:p>
        </w:tc>
      </w:tr>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4</w:t>
            </w:r>
          </w:p>
        </w:tc>
        <w:tc>
          <w:tcPr>
            <w:tcW w:w="1869" w:type="dxa"/>
          </w:tcPr>
          <w:p w:rsidR="001B777D" w:rsidRPr="00C66E6C" w:rsidRDefault="001B777D" w:rsidP="008427DD">
            <w:pPr>
              <w:spacing w:after="0" w:line="240" w:lineRule="auto"/>
              <w:jc w:val="both"/>
              <w:rPr>
                <w:rFonts w:ascii="Calibri" w:eastAsia="Times New Roman" w:hAnsi="Calibri" w:cs="Times New Roman"/>
                <w:szCs w:val="24"/>
                <w:lang w:val="en-US"/>
              </w:rPr>
            </w:pPr>
            <w:r w:rsidRPr="00C66E6C">
              <w:rPr>
                <w:rFonts w:ascii="Calibri" w:eastAsia="Times New Roman" w:hAnsi="Calibri" w:cs="Times New Roman"/>
                <w:szCs w:val="24"/>
                <w:lang w:val="en-US"/>
              </w:rPr>
              <w:t>Industrial HT</w:t>
            </w:r>
          </w:p>
        </w:tc>
        <w:tc>
          <w:tcPr>
            <w:tcW w:w="2126"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23032</w:t>
            </w:r>
            <w:r>
              <w:rPr>
                <w:rFonts w:ascii="Calibri" w:eastAsia="Times New Roman" w:hAnsi="Calibri" w:cs="Times New Roman"/>
                <w:szCs w:val="24"/>
                <w:lang w:val="en-US"/>
              </w:rPr>
              <w:t>.00</w:t>
            </w:r>
          </w:p>
        </w:tc>
        <w:tc>
          <w:tcPr>
            <w:tcW w:w="1843" w:type="dxa"/>
          </w:tcPr>
          <w:p w:rsidR="001B777D" w:rsidRPr="00C66E6C" w:rsidRDefault="001B777D" w:rsidP="008427DD">
            <w:pPr>
              <w:spacing w:after="0" w:line="240" w:lineRule="auto"/>
              <w:jc w:val="center"/>
              <w:rPr>
                <w:rFonts w:ascii="Calibri" w:eastAsia="Times New Roman" w:hAnsi="Calibri" w:cs="Times New Roman"/>
                <w:szCs w:val="24"/>
                <w:lang w:val="en-US"/>
              </w:rPr>
            </w:pPr>
            <w:r>
              <w:rPr>
                <w:rFonts w:ascii="Calibri" w:eastAsia="Times New Roman" w:hAnsi="Calibri" w:cs="Times New Roman"/>
                <w:szCs w:val="24"/>
                <w:lang w:val="en-US"/>
              </w:rPr>
              <w:t>22605.00</w:t>
            </w:r>
          </w:p>
        </w:tc>
      </w:tr>
      <w:tr w:rsidR="001B777D" w:rsidRPr="00C66E6C" w:rsidTr="00486C5D">
        <w:trPr>
          <w:jc w:val="center"/>
        </w:trPr>
        <w:tc>
          <w:tcPr>
            <w:tcW w:w="891"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5</w:t>
            </w:r>
          </w:p>
        </w:tc>
        <w:tc>
          <w:tcPr>
            <w:tcW w:w="1869" w:type="dxa"/>
          </w:tcPr>
          <w:p w:rsidR="001B777D" w:rsidRPr="00C66E6C" w:rsidRDefault="001B777D" w:rsidP="008427DD">
            <w:pPr>
              <w:spacing w:after="0" w:line="240" w:lineRule="auto"/>
              <w:jc w:val="both"/>
              <w:rPr>
                <w:rFonts w:ascii="Calibri" w:eastAsia="Times New Roman" w:hAnsi="Calibri" w:cs="Times New Roman"/>
                <w:szCs w:val="24"/>
                <w:lang w:val="en-US"/>
              </w:rPr>
            </w:pPr>
            <w:r w:rsidRPr="00C66E6C">
              <w:rPr>
                <w:rFonts w:ascii="Calibri" w:eastAsia="Times New Roman" w:hAnsi="Calibri" w:cs="Times New Roman"/>
                <w:szCs w:val="24"/>
                <w:lang w:val="en-US"/>
              </w:rPr>
              <w:t>Bulk Supply</w:t>
            </w:r>
          </w:p>
        </w:tc>
        <w:tc>
          <w:tcPr>
            <w:tcW w:w="2126" w:type="dxa"/>
          </w:tcPr>
          <w:p w:rsidR="001B777D" w:rsidRPr="00C66E6C" w:rsidRDefault="001B777D" w:rsidP="008427DD">
            <w:pPr>
              <w:spacing w:after="0" w:line="240" w:lineRule="auto"/>
              <w:jc w:val="center"/>
              <w:rPr>
                <w:rFonts w:ascii="Calibri" w:eastAsia="Times New Roman" w:hAnsi="Calibri" w:cs="Times New Roman"/>
                <w:szCs w:val="24"/>
                <w:lang w:val="en-US"/>
              </w:rPr>
            </w:pPr>
            <w:r w:rsidRPr="00C66E6C">
              <w:rPr>
                <w:rFonts w:ascii="Calibri" w:eastAsia="Times New Roman" w:hAnsi="Calibri" w:cs="Times New Roman"/>
                <w:szCs w:val="24"/>
                <w:lang w:val="en-US"/>
              </w:rPr>
              <w:t>1595</w:t>
            </w:r>
            <w:r>
              <w:rPr>
                <w:rFonts w:ascii="Calibri" w:eastAsia="Times New Roman" w:hAnsi="Calibri" w:cs="Times New Roman"/>
                <w:szCs w:val="24"/>
                <w:lang w:val="en-US"/>
              </w:rPr>
              <w:t>.00</w:t>
            </w:r>
          </w:p>
        </w:tc>
        <w:tc>
          <w:tcPr>
            <w:tcW w:w="1843" w:type="dxa"/>
          </w:tcPr>
          <w:p w:rsidR="001B777D" w:rsidRPr="00C66E6C" w:rsidRDefault="001B777D" w:rsidP="008427DD">
            <w:pPr>
              <w:spacing w:after="0" w:line="240" w:lineRule="auto"/>
              <w:jc w:val="center"/>
              <w:rPr>
                <w:rFonts w:ascii="Calibri" w:eastAsia="Times New Roman" w:hAnsi="Calibri" w:cs="Times New Roman"/>
                <w:szCs w:val="24"/>
                <w:lang w:val="en-US"/>
              </w:rPr>
            </w:pPr>
            <w:r>
              <w:rPr>
                <w:rFonts w:ascii="Calibri" w:eastAsia="Times New Roman" w:hAnsi="Calibri" w:cs="Times New Roman"/>
                <w:szCs w:val="24"/>
                <w:lang w:val="en-US"/>
              </w:rPr>
              <w:t>1415.00</w:t>
            </w:r>
          </w:p>
        </w:tc>
      </w:tr>
    </w:tbl>
    <w:p w:rsidR="00080927" w:rsidRDefault="00080927" w:rsidP="00C6085F">
      <w:pPr>
        <w:pStyle w:val="NoSpacing"/>
        <w:jc w:val="both"/>
        <w:rPr>
          <w:rFonts w:cstheme="minorHAnsi"/>
          <w:b/>
          <w:color w:val="FFFF00"/>
          <w:sz w:val="24"/>
          <w:szCs w:val="24"/>
          <w:highlight w:val="darkYellow"/>
        </w:rPr>
      </w:pPr>
    </w:p>
    <w:p w:rsidR="005D238C" w:rsidRPr="005D238C" w:rsidRDefault="003F245E" w:rsidP="001763CA">
      <w:pPr>
        <w:pStyle w:val="NoSpacing"/>
        <w:ind w:left="720"/>
        <w:jc w:val="both"/>
        <w:rPr>
          <w:rFonts w:cstheme="minorHAnsi"/>
          <w:b/>
          <w:color w:val="FFFF00"/>
          <w:sz w:val="24"/>
          <w:szCs w:val="24"/>
        </w:rPr>
      </w:pPr>
      <w:r w:rsidRPr="003F245E">
        <w:rPr>
          <w:rFonts w:cstheme="minorHAnsi"/>
          <w:b/>
          <w:sz w:val="24"/>
          <w:szCs w:val="24"/>
        </w:rPr>
        <w:t>4.2</w:t>
      </w:r>
      <w:r w:rsidRPr="003F245E">
        <w:rPr>
          <w:rFonts w:cstheme="minorHAnsi"/>
          <w:b/>
          <w:color w:val="FFFF00"/>
          <w:sz w:val="24"/>
          <w:szCs w:val="24"/>
        </w:rPr>
        <w:t xml:space="preserve">  </w:t>
      </w:r>
      <w:r w:rsidR="005D238C" w:rsidRPr="00D86288">
        <w:rPr>
          <w:rFonts w:cstheme="minorHAnsi"/>
          <w:b/>
          <w:color w:val="FFFF00"/>
          <w:sz w:val="24"/>
          <w:szCs w:val="24"/>
          <w:highlight w:val="darkGreen"/>
        </w:rPr>
        <w:t>TRAJECTORY FOR LOSS REDUCTION</w:t>
      </w:r>
    </w:p>
    <w:p w:rsidR="00193128" w:rsidRPr="004C2769" w:rsidRDefault="00193128" w:rsidP="00823204">
      <w:pPr>
        <w:pStyle w:val="NoSpacing"/>
        <w:ind w:left="720"/>
        <w:jc w:val="both"/>
        <w:rPr>
          <w:rFonts w:cstheme="minorHAnsi"/>
          <w:b/>
          <w:sz w:val="24"/>
          <w:szCs w:val="24"/>
        </w:rPr>
      </w:pPr>
    </w:p>
    <w:p w:rsidR="005D238C" w:rsidRPr="00D60F2D" w:rsidRDefault="005D238C" w:rsidP="005D238C">
      <w:pPr>
        <w:widowControl w:val="0"/>
        <w:autoSpaceDE w:val="0"/>
        <w:autoSpaceDN w:val="0"/>
        <w:adjustRightInd w:val="0"/>
        <w:spacing w:after="0" w:line="360" w:lineRule="auto"/>
        <w:ind w:left="851"/>
        <w:jc w:val="both"/>
        <w:rPr>
          <w:rFonts w:ascii="Calibri" w:eastAsia="Times New Roman" w:hAnsi="Calibri" w:cs="Times New Roman"/>
          <w:bCs/>
          <w:spacing w:val="-1"/>
          <w:sz w:val="24"/>
          <w:szCs w:val="28"/>
          <w:lang w:val="en-US"/>
        </w:rPr>
      </w:pPr>
      <w:r>
        <w:rPr>
          <w:rFonts w:ascii="Calibri" w:eastAsia="Times New Roman" w:hAnsi="Calibri" w:cs="Times New Roman"/>
          <w:bCs/>
          <w:spacing w:val="-1"/>
          <w:sz w:val="24"/>
          <w:szCs w:val="28"/>
          <w:lang w:val="en-US"/>
        </w:rPr>
        <w:t>T</w:t>
      </w:r>
      <w:r w:rsidRPr="00D60F2D">
        <w:rPr>
          <w:rFonts w:ascii="Calibri" w:eastAsia="Times New Roman" w:hAnsi="Calibri" w:cs="Times New Roman"/>
          <w:bCs/>
          <w:spacing w:val="-1"/>
          <w:sz w:val="24"/>
          <w:szCs w:val="28"/>
          <w:lang w:val="en-US"/>
        </w:rPr>
        <w:t>he trajectory for l</w:t>
      </w:r>
      <w:r>
        <w:rPr>
          <w:rFonts w:ascii="Calibri" w:eastAsia="Times New Roman" w:hAnsi="Calibri" w:cs="Times New Roman"/>
          <w:bCs/>
          <w:spacing w:val="-1"/>
          <w:sz w:val="24"/>
          <w:szCs w:val="28"/>
          <w:lang w:val="en-US"/>
        </w:rPr>
        <w:t xml:space="preserve">oss reduction for the period FY 2015-16 to FY 2017-18 had been </w:t>
      </w:r>
      <w:r w:rsidRPr="00D60F2D">
        <w:rPr>
          <w:rFonts w:ascii="Calibri" w:eastAsia="Times New Roman" w:hAnsi="Calibri" w:cs="Times New Roman"/>
          <w:bCs/>
          <w:spacing w:val="-1"/>
          <w:sz w:val="24"/>
          <w:szCs w:val="28"/>
          <w:lang w:val="en-US"/>
        </w:rPr>
        <w:t xml:space="preserve"> </w:t>
      </w:r>
      <w:r>
        <w:rPr>
          <w:rFonts w:ascii="Calibri" w:eastAsia="Times New Roman" w:hAnsi="Calibri" w:cs="Times New Roman"/>
          <w:bCs/>
          <w:spacing w:val="-1"/>
          <w:sz w:val="24"/>
          <w:szCs w:val="28"/>
          <w:lang w:val="en-US"/>
        </w:rPr>
        <w:t xml:space="preserve">by the Commission as </w:t>
      </w:r>
      <w:r w:rsidRPr="00D60F2D">
        <w:rPr>
          <w:rFonts w:ascii="Calibri" w:eastAsia="Times New Roman" w:hAnsi="Calibri" w:cs="Times New Roman"/>
          <w:bCs/>
          <w:spacing w:val="-1"/>
          <w:sz w:val="24"/>
          <w:szCs w:val="28"/>
          <w:lang w:val="en-US"/>
        </w:rPr>
        <w:t xml:space="preserve"> follows</w:t>
      </w:r>
      <w:r>
        <w:rPr>
          <w:rFonts w:ascii="Calibri" w:eastAsia="Times New Roman" w:hAnsi="Calibri" w:cs="Times New Roman"/>
          <w:bCs/>
          <w:spacing w:val="-1"/>
          <w:sz w:val="24"/>
          <w:szCs w:val="28"/>
          <w:lang w:val="en-US"/>
        </w:rPr>
        <w:t>:</w:t>
      </w:r>
    </w:p>
    <w:p w:rsidR="005D238C" w:rsidRPr="004C0827" w:rsidRDefault="005D238C" w:rsidP="005D238C">
      <w:pPr>
        <w:widowControl w:val="0"/>
        <w:autoSpaceDE w:val="0"/>
        <w:autoSpaceDN w:val="0"/>
        <w:adjustRightInd w:val="0"/>
        <w:spacing w:after="0" w:line="240" w:lineRule="auto"/>
        <w:ind w:left="720"/>
        <w:jc w:val="both"/>
        <w:rPr>
          <w:rFonts w:ascii="Calibri" w:eastAsia="Times New Roman" w:hAnsi="Calibri" w:cs="Times New Roman"/>
          <w:bCs/>
          <w:spacing w:val="-1"/>
          <w:sz w:val="2"/>
          <w:szCs w:val="28"/>
          <w:lang w:val="en-US"/>
        </w:rPr>
      </w:pPr>
    </w:p>
    <w:tbl>
      <w:tblPr>
        <w:tblW w:w="0" w:type="auto"/>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2111"/>
        <w:gridCol w:w="2126"/>
      </w:tblGrid>
      <w:tr w:rsidR="005D238C" w:rsidRPr="00366448" w:rsidTr="008427DD">
        <w:tc>
          <w:tcPr>
            <w:tcW w:w="1134" w:type="dxa"/>
          </w:tcPr>
          <w:p w:rsidR="005D238C" w:rsidRPr="00366448" w:rsidRDefault="005D238C" w:rsidP="008427DD">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SI. No.</w:t>
            </w:r>
          </w:p>
        </w:tc>
        <w:tc>
          <w:tcPr>
            <w:tcW w:w="2111" w:type="dxa"/>
          </w:tcPr>
          <w:p w:rsidR="005D238C" w:rsidRPr="00366448" w:rsidRDefault="005D238C" w:rsidP="008427DD">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Year</w:t>
            </w:r>
          </w:p>
        </w:tc>
        <w:tc>
          <w:tcPr>
            <w:tcW w:w="2126" w:type="dxa"/>
          </w:tcPr>
          <w:p w:rsidR="005D238C" w:rsidRPr="00366448" w:rsidRDefault="005D238C" w:rsidP="008427DD">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Target (%)</w:t>
            </w:r>
          </w:p>
        </w:tc>
      </w:tr>
      <w:tr w:rsidR="005D238C" w:rsidRPr="00366448" w:rsidTr="008427DD">
        <w:tc>
          <w:tcPr>
            <w:tcW w:w="1134"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sidRPr="005D238C">
              <w:rPr>
                <w:rFonts w:ascii="Calibri" w:eastAsia="Times New Roman" w:hAnsi="Calibri" w:cs="Times New Roman"/>
                <w:spacing w:val="-1"/>
                <w:szCs w:val="28"/>
                <w:lang w:val="en-US"/>
              </w:rPr>
              <w:t>1</w:t>
            </w:r>
          </w:p>
        </w:tc>
        <w:tc>
          <w:tcPr>
            <w:tcW w:w="2111" w:type="dxa"/>
          </w:tcPr>
          <w:p w:rsidR="005D238C" w:rsidRPr="005D238C" w:rsidRDefault="005D238C" w:rsidP="005D238C">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2015-16</w:t>
            </w:r>
          </w:p>
        </w:tc>
        <w:tc>
          <w:tcPr>
            <w:tcW w:w="2126"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34%</w:t>
            </w:r>
          </w:p>
        </w:tc>
      </w:tr>
      <w:tr w:rsidR="005D238C" w:rsidRPr="00366448" w:rsidTr="008427DD">
        <w:tc>
          <w:tcPr>
            <w:tcW w:w="1134"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w:t>
            </w:r>
          </w:p>
        </w:tc>
        <w:tc>
          <w:tcPr>
            <w:tcW w:w="2111" w:type="dxa"/>
          </w:tcPr>
          <w:p w:rsidR="005D238C" w:rsidRDefault="005D238C" w:rsidP="005D238C">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2016-17</w:t>
            </w:r>
          </w:p>
        </w:tc>
        <w:tc>
          <w:tcPr>
            <w:tcW w:w="2126"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32%</w:t>
            </w:r>
          </w:p>
        </w:tc>
      </w:tr>
      <w:tr w:rsidR="005D238C" w:rsidRPr="00366448" w:rsidTr="008427DD">
        <w:tc>
          <w:tcPr>
            <w:tcW w:w="1134"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Pr>
                <w:rFonts w:ascii="Calibri" w:eastAsia="Times New Roman" w:hAnsi="Calibri" w:cs="Times New Roman"/>
                <w:bCs/>
                <w:spacing w:val="-1"/>
                <w:szCs w:val="28"/>
                <w:lang w:val="en-US"/>
              </w:rPr>
              <w:t>3</w:t>
            </w:r>
          </w:p>
        </w:tc>
        <w:tc>
          <w:tcPr>
            <w:tcW w:w="2111" w:type="dxa"/>
          </w:tcPr>
          <w:p w:rsidR="005D238C" w:rsidRPr="005D238C" w:rsidRDefault="005D238C" w:rsidP="005D238C">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sidRPr="005D238C">
              <w:rPr>
                <w:rFonts w:ascii="Calibri" w:eastAsia="Times New Roman" w:hAnsi="Calibri" w:cs="Times New Roman"/>
                <w:bCs/>
                <w:spacing w:val="-1"/>
                <w:szCs w:val="28"/>
                <w:lang w:val="en-US"/>
              </w:rPr>
              <w:t>201</w:t>
            </w:r>
            <w:r>
              <w:rPr>
                <w:rFonts w:ascii="Calibri" w:eastAsia="Times New Roman" w:hAnsi="Calibri" w:cs="Times New Roman"/>
                <w:bCs/>
                <w:spacing w:val="-1"/>
                <w:szCs w:val="28"/>
                <w:lang w:val="en-US"/>
              </w:rPr>
              <w:t>7</w:t>
            </w:r>
            <w:r w:rsidRPr="005D238C">
              <w:rPr>
                <w:rFonts w:ascii="Calibri" w:eastAsia="Times New Roman" w:hAnsi="Calibri" w:cs="Times New Roman"/>
                <w:bCs/>
                <w:spacing w:val="-1"/>
                <w:szCs w:val="28"/>
                <w:lang w:val="en-US"/>
              </w:rPr>
              <w:t>-1</w:t>
            </w:r>
            <w:r>
              <w:rPr>
                <w:rFonts w:ascii="Calibri" w:eastAsia="Times New Roman" w:hAnsi="Calibri" w:cs="Times New Roman"/>
                <w:bCs/>
                <w:spacing w:val="-1"/>
                <w:szCs w:val="28"/>
                <w:lang w:val="en-US"/>
              </w:rPr>
              <w:t>8</w:t>
            </w:r>
          </w:p>
        </w:tc>
        <w:tc>
          <w:tcPr>
            <w:tcW w:w="2126" w:type="dxa"/>
          </w:tcPr>
          <w:p w:rsidR="005D238C" w:rsidRPr="005D238C" w:rsidRDefault="005D238C" w:rsidP="008427DD">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Pr>
                <w:rFonts w:ascii="Calibri" w:eastAsia="Times New Roman" w:hAnsi="Calibri" w:cs="Times New Roman"/>
                <w:bCs/>
                <w:spacing w:val="-1"/>
                <w:szCs w:val="28"/>
                <w:lang w:val="en-US"/>
              </w:rPr>
              <w:t>30%</w:t>
            </w:r>
          </w:p>
        </w:tc>
      </w:tr>
    </w:tbl>
    <w:p w:rsidR="008427DD" w:rsidRDefault="008427DD" w:rsidP="00823204">
      <w:pPr>
        <w:pStyle w:val="NoSpacing"/>
        <w:ind w:left="720"/>
        <w:jc w:val="both"/>
        <w:rPr>
          <w:rFonts w:cstheme="minorHAnsi"/>
          <w:sz w:val="24"/>
          <w:szCs w:val="24"/>
        </w:rPr>
      </w:pPr>
    </w:p>
    <w:p w:rsidR="00193128" w:rsidRDefault="008427DD" w:rsidP="00823204">
      <w:pPr>
        <w:pStyle w:val="NoSpacing"/>
        <w:ind w:left="720"/>
        <w:jc w:val="both"/>
        <w:rPr>
          <w:rFonts w:cstheme="minorHAnsi"/>
          <w:sz w:val="24"/>
          <w:szCs w:val="24"/>
        </w:rPr>
      </w:pPr>
      <w:r>
        <w:rPr>
          <w:rFonts w:cstheme="minorHAnsi"/>
          <w:sz w:val="24"/>
          <w:szCs w:val="24"/>
        </w:rPr>
        <w:t xml:space="preserve">During the F.Y 2013-14, the actual T&amp; D loss was 38.94% </w:t>
      </w:r>
      <w:r w:rsidR="008532A0">
        <w:rPr>
          <w:rFonts w:cstheme="minorHAnsi"/>
          <w:sz w:val="24"/>
          <w:szCs w:val="24"/>
        </w:rPr>
        <w:t xml:space="preserve"> while in F.Y 2014-15 the T&amp;D loss was estimated at 39.84%. However, the Commission feels that the T&amp;D losses need to be reduced and the loss  trajectory has been fixed as below:</w:t>
      </w:r>
    </w:p>
    <w:p w:rsidR="008532A0" w:rsidRDefault="008532A0" w:rsidP="00823204">
      <w:pPr>
        <w:pStyle w:val="NoSpacing"/>
        <w:ind w:left="720"/>
        <w:jc w:val="both"/>
        <w:rPr>
          <w:rFonts w:cstheme="minorHAnsi"/>
          <w:sz w:val="24"/>
          <w:szCs w:val="24"/>
        </w:rPr>
      </w:pPr>
    </w:p>
    <w:tbl>
      <w:tblPr>
        <w:tblW w:w="0" w:type="auto"/>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4"/>
        <w:gridCol w:w="2111"/>
        <w:gridCol w:w="2126"/>
      </w:tblGrid>
      <w:tr w:rsidR="008532A0" w:rsidRPr="00366448" w:rsidTr="003D08E8">
        <w:tc>
          <w:tcPr>
            <w:tcW w:w="1134" w:type="dxa"/>
          </w:tcPr>
          <w:p w:rsidR="008532A0" w:rsidRPr="00366448" w:rsidRDefault="008532A0" w:rsidP="003D08E8">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SI. No.</w:t>
            </w:r>
          </w:p>
        </w:tc>
        <w:tc>
          <w:tcPr>
            <w:tcW w:w="2111" w:type="dxa"/>
          </w:tcPr>
          <w:p w:rsidR="008532A0" w:rsidRPr="00366448" w:rsidRDefault="008532A0" w:rsidP="003D08E8">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Year</w:t>
            </w:r>
          </w:p>
        </w:tc>
        <w:tc>
          <w:tcPr>
            <w:tcW w:w="2126" w:type="dxa"/>
          </w:tcPr>
          <w:p w:rsidR="008532A0" w:rsidRPr="00366448" w:rsidRDefault="008532A0" w:rsidP="003D08E8">
            <w:pPr>
              <w:widowControl w:val="0"/>
              <w:autoSpaceDE w:val="0"/>
              <w:autoSpaceDN w:val="0"/>
              <w:adjustRightInd w:val="0"/>
              <w:spacing w:after="0" w:line="240" w:lineRule="auto"/>
              <w:jc w:val="center"/>
              <w:rPr>
                <w:rFonts w:ascii="Calibri" w:eastAsia="Times New Roman" w:hAnsi="Calibri" w:cs="Times New Roman"/>
                <w:b/>
                <w:spacing w:val="-1"/>
                <w:szCs w:val="28"/>
                <w:lang w:val="en-US"/>
              </w:rPr>
            </w:pPr>
            <w:r w:rsidRPr="00366448">
              <w:rPr>
                <w:rFonts w:ascii="Calibri" w:eastAsia="Times New Roman" w:hAnsi="Calibri" w:cs="Times New Roman"/>
                <w:b/>
                <w:spacing w:val="-1"/>
                <w:szCs w:val="28"/>
                <w:lang w:val="en-US"/>
              </w:rPr>
              <w:t>Target (%)</w:t>
            </w:r>
          </w:p>
        </w:tc>
      </w:tr>
      <w:tr w:rsidR="008532A0" w:rsidRPr="005D238C" w:rsidTr="003D08E8">
        <w:tc>
          <w:tcPr>
            <w:tcW w:w="1134"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sidRPr="005D238C">
              <w:rPr>
                <w:rFonts w:ascii="Calibri" w:eastAsia="Times New Roman" w:hAnsi="Calibri" w:cs="Times New Roman"/>
                <w:spacing w:val="-1"/>
                <w:szCs w:val="28"/>
                <w:lang w:val="en-US"/>
              </w:rPr>
              <w:t>1</w:t>
            </w:r>
          </w:p>
        </w:tc>
        <w:tc>
          <w:tcPr>
            <w:tcW w:w="2111" w:type="dxa"/>
          </w:tcPr>
          <w:p w:rsidR="008532A0" w:rsidRPr="005D238C" w:rsidRDefault="008532A0" w:rsidP="008532A0">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2016-17</w:t>
            </w:r>
          </w:p>
        </w:tc>
        <w:tc>
          <w:tcPr>
            <w:tcW w:w="2126"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32%</w:t>
            </w:r>
          </w:p>
        </w:tc>
      </w:tr>
      <w:tr w:rsidR="008532A0" w:rsidRPr="005D238C" w:rsidTr="003D08E8">
        <w:tc>
          <w:tcPr>
            <w:tcW w:w="1134"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w:t>
            </w:r>
          </w:p>
        </w:tc>
        <w:tc>
          <w:tcPr>
            <w:tcW w:w="2111" w:type="dxa"/>
          </w:tcPr>
          <w:p w:rsidR="008532A0" w:rsidRDefault="008532A0" w:rsidP="003D08E8">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2017-18</w:t>
            </w:r>
          </w:p>
        </w:tc>
        <w:tc>
          <w:tcPr>
            <w:tcW w:w="2126"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spacing w:val="-1"/>
                <w:szCs w:val="28"/>
                <w:lang w:val="en-US"/>
              </w:rPr>
            </w:pPr>
            <w:r>
              <w:rPr>
                <w:rFonts w:ascii="Calibri" w:eastAsia="Times New Roman" w:hAnsi="Calibri" w:cs="Times New Roman"/>
                <w:spacing w:val="-1"/>
                <w:szCs w:val="28"/>
                <w:lang w:val="en-US"/>
              </w:rPr>
              <w:t>30%</w:t>
            </w:r>
          </w:p>
        </w:tc>
      </w:tr>
      <w:tr w:rsidR="008532A0" w:rsidRPr="005D238C" w:rsidTr="003D08E8">
        <w:tc>
          <w:tcPr>
            <w:tcW w:w="1134"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Pr>
                <w:rFonts w:ascii="Calibri" w:eastAsia="Times New Roman" w:hAnsi="Calibri" w:cs="Times New Roman"/>
                <w:bCs/>
                <w:spacing w:val="-1"/>
                <w:szCs w:val="28"/>
                <w:lang w:val="en-US"/>
              </w:rPr>
              <w:t>3</w:t>
            </w:r>
          </w:p>
        </w:tc>
        <w:tc>
          <w:tcPr>
            <w:tcW w:w="2111" w:type="dxa"/>
          </w:tcPr>
          <w:p w:rsidR="008532A0" w:rsidRPr="005D238C" w:rsidRDefault="008532A0" w:rsidP="008532A0">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sidRPr="005D238C">
              <w:rPr>
                <w:rFonts w:ascii="Calibri" w:eastAsia="Times New Roman" w:hAnsi="Calibri" w:cs="Times New Roman"/>
                <w:bCs/>
                <w:spacing w:val="-1"/>
                <w:szCs w:val="28"/>
                <w:lang w:val="en-US"/>
              </w:rPr>
              <w:t>201</w:t>
            </w:r>
            <w:r>
              <w:rPr>
                <w:rFonts w:ascii="Calibri" w:eastAsia="Times New Roman" w:hAnsi="Calibri" w:cs="Times New Roman"/>
                <w:bCs/>
                <w:spacing w:val="-1"/>
                <w:szCs w:val="28"/>
                <w:lang w:val="en-US"/>
              </w:rPr>
              <w:t>8</w:t>
            </w:r>
            <w:r w:rsidRPr="005D238C">
              <w:rPr>
                <w:rFonts w:ascii="Calibri" w:eastAsia="Times New Roman" w:hAnsi="Calibri" w:cs="Times New Roman"/>
                <w:bCs/>
                <w:spacing w:val="-1"/>
                <w:szCs w:val="28"/>
                <w:lang w:val="en-US"/>
              </w:rPr>
              <w:t>-1</w:t>
            </w:r>
            <w:r>
              <w:rPr>
                <w:rFonts w:ascii="Calibri" w:eastAsia="Times New Roman" w:hAnsi="Calibri" w:cs="Times New Roman"/>
                <w:bCs/>
                <w:spacing w:val="-1"/>
                <w:szCs w:val="28"/>
                <w:lang w:val="en-US"/>
              </w:rPr>
              <w:t>9</w:t>
            </w:r>
          </w:p>
        </w:tc>
        <w:tc>
          <w:tcPr>
            <w:tcW w:w="2126" w:type="dxa"/>
          </w:tcPr>
          <w:p w:rsidR="008532A0" w:rsidRPr="005D238C" w:rsidRDefault="008532A0" w:rsidP="003D08E8">
            <w:pPr>
              <w:widowControl w:val="0"/>
              <w:autoSpaceDE w:val="0"/>
              <w:autoSpaceDN w:val="0"/>
              <w:adjustRightInd w:val="0"/>
              <w:spacing w:after="0" w:line="240" w:lineRule="auto"/>
              <w:jc w:val="center"/>
              <w:rPr>
                <w:rFonts w:ascii="Calibri" w:eastAsia="Times New Roman" w:hAnsi="Calibri" w:cs="Times New Roman"/>
                <w:bCs/>
                <w:spacing w:val="-1"/>
                <w:szCs w:val="28"/>
                <w:lang w:val="en-US"/>
              </w:rPr>
            </w:pPr>
            <w:r>
              <w:rPr>
                <w:rFonts w:ascii="Calibri" w:eastAsia="Times New Roman" w:hAnsi="Calibri" w:cs="Times New Roman"/>
                <w:bCs/>
                <w:spacing w:val="-1"/>
                <w:szCs w:val="28"/>
                <w:lang w:val="en-US"/>
              </w:rPr>
              <w:t>28%</w:t>
            </w:r>
          </w:p>
        </w:tc>
      </w:tr>
    </w:tbl>
    <w:p w:rsidR="008532A0" w:rsidRPr="008427DD" w:rsidRDefault="008532A0" w:rsidP="00823204">
      <w:pPr>
        <w:pStyle w:val="NoSpacing"/>
        <w:ind w:left="720"/>
        <w:jc w:val="both"/>
        <w:rPr>
          <w:rFonts w:cstheme="minorHAnsi"/>
          <w:sz w:val="24"/>
          <w:szCs w:val="24"/>
        </w:rPr>
      </w:pPr>
    </w:p>
    <w:p w:rsidR="00B26E84" w:rsidRPr="00305CC1" w:rsidRDefault="00B80ED9" w:rsidP="00305CC1">
      <w:pPr>
        <w:pStyle w:val="NoSpacing"/>
        <w:ind w:left="720"/>
        <w:jc w:val="both"/>
        <w:rPr>
          <w:rFonts w:cstheme="minorHAnsi"/>
          <w:sz w:val="24"/>
          <w:szCs w:val="24"/>
        </w:rPr>
      </w:pPr>
      <w:r w:rsidRPr="004C2769">
        <w:rPr>
          <w:rFonts w:cstheme="minorHAnsi"/>
          <w:sz w:val="24"/>
          <w:szCs w:val="24"/>
        </w:rPr>
        <w:t xml:space="preserve"> </w:t>
      </w:r>
    </w:p>
    <w:p w:rsidR="009300A1" w:rsidRDefault="003F245E" w:rsidP="00305CC1">
      <w:pPr>
        <w:pStyle w:val="NoSpacing"/>
        <w:ind w:firstLine="720"/>
        <w:jc w:val="both"/>
        <w:rPr>
          <w:rFonts w:cstheme="minorHAnsi"/>
          <w:b/>
          <w:color w:val="FFFF00"/>
          <w:sz w:val="24"/>
          <w:szCs w:val="24"/>
        </w:rPr>
      </w:pPr>
      <w:r w:rsidRPr="003F245E">
        <w:rPr>
          <w:rFonts w:cstheme="minorHAnsi"/>
          <w:b/>
          <w:sz w:val="24"/>
          <w:szCs w:val="24"/>
        </w:rPr>
        <w:t>4.3</w:t>
      </w:r>
      <w:r w:rsidRPr="003F245E">
        <w:rPr>
          <w:rFonts w:cstheme="minorHAnsi"/>
          <w:b/>
          <w:color w:val="FFFF00"/>
          <w:sz w:val="24"/>
          <w:szCs w:val="24"/>
        </w:rPr>
        <w:t xml:space="preserve"> </w:t>
      </w:r>
      <w:r w:rsidR="00305CC1" w:rsidRPr="00D86288">
        <w:rPr>
          <w:rFonts w:cstheme="minorHAnsi"/>
          <w:b/>
          <w:color w:val="FFFF00"/>
          <w:sz w:val="24"/>
          <w:szCs w:val="24"/>
          <w:highlight w:val="darkGreen"/>
        </w:rPr>
        <w:t>ENERGY REQUIREMENT &amp; AVAILABILITY</w:t>
      </w:r>
    </w:p>
    <w:p w:rsidR="00305CC1" w:rsidRPr="00305CC1" w:rsidRDefault="00305CC1" w:rsidP="00305CC1">
      <w:pPr>
        <w:pStyle w:val="NoSpacing"/>
        <w:jc w:val="both"/>
        <w:rPr>
          <w:rFonts w:cstheme="minorHAnsi"/>
          <w:b/>
          <w:color w:val="FFFF00"/>
          <w:sz w:val="24"/>
          <w:szCs w:val="24"/>
        </w:rPr>
      </w:pPr>
    </w:p>
    <w:p w:rsidR="00836CEB" w:rsidRDefault="00836CEB" w:rsidP="00836CEB">
      <w:pPr>
        <w:pStyle w:val="NoSpacing"/>
        <w:ind w:left="720"/>
        <w:jc w:val="both"/>
        <w:rPr>
          <w:rFonts w:cstheme="minorHAnsi"/>
          <w:sz w:val="24"/>
          <w:szCs w:val="24"/>
        </w:rPr>
      </w:pPr>
      <w:r>
        <w:rPr>
          <w:rFonts w:cstheme="minorHAnsi"/>
          <w:sz w:val="24"/>
          <w:szCs w:val="24"/>
        </w:rPr>
        <w:t>The Energy requirement and availability for F.Y 2014-15 is as indicated in Table 1.6 below.</w:t>
      </w:r>
    </w:p>
    <w:p w:rsidR="009300A1" w:rsidRPr="00836CEB" w:rsidRDefault="00836CEB" w:rsidP="00836CEB">
      <w:pPr>
        <w:pStyle w:val="NoSpacing"/>
        <w:ind w:left="720"/>
        <w:jc w:val="both"/>
        <w:rPr>
          <w:rFonts w:cstheme="minorHAnsi"/>
          <w:sz w:val="24"/>
          <w:szCs w:val="24"/>
        </w:rPr>
      </w:pPr>
      <w:r>
        <w:rPr>
          <w:rFonts w:cstheme="minorHAnsi"/>
          <w:sz w:val="24"/>
          <w:szCs w:val="24"/>
        </w:rPr>
        <w:t xml:space="preserve">  </w:t>
      </w:r>
    </w:p>
    <w:p w:rsidR="00B37D8D" w:rsidRDefault="00B37D8D" w:rsidP="008E38FF">
      <w:pPr>
        <w:pStyle w:val="Heading1"/>
        <w:jc w:val="center"/>
        <w:rPr>
          <w:rFonts w:ascii="Calibri" w:eastAsia="Calibri" w:hAnsi="Calibri"/>
          <w:sz w:val="22"/>
        </w:rPr>
      </w:pPr>
      <w:bookmarkStart w:id="7" w:name="_Toc383176064"/>
      <w:r>
        <w:rPr>
          <w:rFonts w:ascii="Calibri" w:eastAsia="Calibri" w:hAnsi="Calibri"/>
          <w:sz w:val="22"/>
        </w:rPr>
        <w:t>Table 1.6</w:t>
      </w:r>
      <w:r w:rsidRPr="00B92859">
        <w:rPr>
          <w:rFonts w:ascii="Calibri" w:eastAsia="Calibri" w:hAnsi="Calibri"/>
          <w:sz w:val="22"/>
        </w:rPr>
        <w:t>: Energy Balance approved by the Commission for FY 2014-1</w:t>
      </w:r>
      <w:bookmarkEnd w:id="7"/>
      <w:r w:rsidR="008E38FF">
        <w:rPr>
          <w:rFonts w:ascii="Calibri" w:eastAsia="Calibri" w:hAnsi="Calibri"/>
          <w:sz w:val="22"/>
        </w:rPr>
        <w:t>5</w:t>
      </w:r>
    </w:p>
    <w:tbl>
      <w:tblPr>
        <w:tblStyle w:val="TableGrid"/>
        <w:tblpPr w:leftFromText="180" w:rightFromText="180" w:vertAnchor="text" w:horzAnchor="page" w:tblpX="2953" w:tblpY="359"/>
        <w:tblW w:w="0" w:type="auto"/>
        <w:tblLook w:val="04A0"/>
      </w:tblPr>
      <w:tblGrid>
        <w:gridCol w:w="851"/>
        <w:gridCol w:w="3827"/>
        <w:gridCol w:w="1937"/>
      </w:tblGrid>
      <w:tr w:rsidR="0011311D" w:rsidTr="0011311D">
        <w:tc>
          <w:tcPr>
            <w:tcW w:w="851" w:type="dxa"/>
          </w:tcPr>
          <w:p w:rsidR="0011311D" w:rsidRPr="00B37D8D" w:rsidRDefault="0011311D" w:rsidP="0011311D">
            <w:pPr>
              <w:rPr>
                <w:b/>
                <w:lang w:val="en-US"/>
              </w:rPr>
            </w:pPr>
            <w:r w:rsidRPr="00B37D8D">
              <w:rPr>
                <w:b/>
                <w:lang w:val="en-US"/>
              </w:rPr>
              <w:t>Sl.No</w:t>
            </w:r>
          </w:p>
        </w:tc>
        <w:tc>
          <w:tcPr>
            <w:tcW w:w="3827" w:type="dxa"/>
            <w:vAlign w:val="center"/>
          </w:tcPr>
          <w:p w:rsidR="0011311D" w:rsidRDefault="0011311D" w:rsidP="0011311D">
            <w:pPr>
              <w:jc w:val="both"/>
              <w:rPr>
                <w:rFonts w:ascii="Calibri" w:eastAsia="Calibri" w:hAnsi="Calibri" w:cs="Times New Roman"/>
                <w:b/>
              </w:rPr>
            </w:pPr>
            <w:r>
              <w:rPr>
                <w:rFonts w:ascii="Calibri" w:eastAsia="Calibri" w:hAnsi="Calibri" w:cs="Times New Roman"/>
                <w:b/>
              </w:rPr>
              <w:t>Particulars</w:t>
            </w:r>
          </w:p>
        </w:tc>
        <w:tc>
          <w:tcPr>
            <w:tcW w:w="1937" w:type="dxa"/>
            <w:vAlign w:val="center"/>
          </w:tcPr>
          <w:p w:rsidR="0011311D" w:rsidRDefault="0011311D" w:rsidP="0011311D">
            <w:pPr>
              <w:jc w:val="center"/>
              <w:rPr>
                <w:rFonts w:ascii="Calibri" w:eastAsia="Calibri" w:hAnsi="Calibri" w:cs="Times New Roman"/>
                <w:b/>
              </w:rPr>
            </w:pPr>
            <w:r>
              <w:rPr>
                <w:rFonts w:ascii="Calibri" w:eastAsia="Calibri" w:hAnsi="Calibri"/>
                <w:b/>
              </w:rPr>
              <w:t>Approved for FY</w:t>
            </w:r>
            <w:r>
              <w:rPr>
                <w:rFonts w:ascii="Calibri" w:eastAsia="Calibri" w:hAnsi="Calibri" w:cs="Times New Roman"/>
                <w:b/>
              </w:rPr>
              <w:t>2014-15</w:t>
            </w:r>
          </w:p>
        </w:tc>
      </w:tr>
      <w:tr w:rsidR="0011311D" w:rsidTr="0011311D">
        <w:tc>
          <w:tcPr>
            <w:tcW w:w="851" w:type="dxa"/>
            <w:vAlign w:val="center"/>
          </w:tcPr>
          <w:p w:rsidR="0011311D" w:rsidRDefault="0011311D" w:rsidP="0011311D">
            <w:pPr>
              <w:jc w:val="both"/>
              <w:rPr>
                <w:rFonts w:ascii="Calibri" w:eastAsia="Calibri" w:hAnsi="Calibri" w:cs="Times New Roman"/>
                <w:b/>
              </w:rPr>
            </w:pPr>
            <w:r>
              <w:rPr>
                <w:rFonts w:ascii="Calibri" w:eastAsia="Calibri" w:hAnsi="Calibri" w:cs="Times New Roman"/>
                <w:b/>
              </w:rPr>
              <w:t>A</w:t>
            </w:r>
          </w:p>
        </w:tc>
        <w:tc>
          <w:tcPr>
            <w:tcW w:w="5764" w:type="dxa"/>
            <w:gridSpan w:val="2"/>
          </w:tcPr>
          <w:p w:rsidR="0011311D" w:rsidRPr="008E38FF" w:rsidRDefault="0011311D" w:rsidP="0011311D">
            <w:pPr>
              <w:jc w:val="both"/>
              <w:rPr>
                <w:rFonts w:ascii="Calibri" w:eastAsia="Calibri" w:hAnsi="Calibri" w:cs="Times New Roman"/>
                <w:b/>
              </w:rPr>
            </w:pPr>
            <w:r w:rsidRPr="008E38FF">
              <w:rPr>
                <w:rFonts w:ascii="Calibri" w:eastAsia="Calibri" w:hAnsi="Calibri" w:cs="Times New Roman"/>
                <w:b/>
              </w:rPr>
              <w:t>Energy Requirement</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Energy Sales within the State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264</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2</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T &amp; D Losses %</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36%</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3</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T &amp; D Losses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148.50</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4</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Energy Requirement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412.50</w:t>
            </w:r>
          </w:p>
        </w:tc>
      </w:tr>
      <w:tr w:rsidR="0011311D" w:rsidTr="0011311D">
        <w:tc>
          <w:tcPr>
            <w:tcW w:w="851" w:type="dxa"/>
            <w:vAlign w:val="center"/>
          </w:tcPr>
          <w:p w:rsidR="0011311D" w:rsidRDefault="0011311D" w:rsidP="0011311D">
            <w:pPr>
              <w:jc w:val="both"/>
              <w:rPr>
                <w:rFonts w:ascii="Calibri" w:eastAsia="Calibri" w:hAnsi="Calibri" w:cs="Times New Roman"/>
                <w:b/>
              </w:rPr>
            </w:pPr>
            <w:r>
              <w:rPr>
                <w:rFonts w:ascii="Calibri" w:eastAsia="Calibri" w:hAnsi="Calibri" w:cs="Times New Roman"/>
                <w:b/>
              </w:rPr>
              <w:t>B</w:t>
            </w:r>
          </w:p>
        </w:tc>
        <w:tc>
          <w:tcPr>
            <w:tcW w:w="5764" w:type="dxa"/>
            <w:gridSpan w:val="2"/>
          </w:tcPr>
          <w:p w:rsidR="0011311D" w:rsidRPr="008E38FF" w:rsidRDefault="0011311D" w:rsidP="0011311D">
            <w:pPr>
              <w:jc w:val="both"/>
              <w:rPr>
                <w:rFonts w:ascii="Calibri" w:eastAsia="Calibri" w:hAnsi="Calibri" w:cs="Times New Roman"/>
                <w:b/>
              </w:rPr>
            </w:pPr>
            <w:r w:rsidRPr="008E38FF">
              <w:rPr>
                <w:rFonts w:ascii="Calibri" w:eastAsia="Calibri" w:hAnsi="Calibri" w:cs="Times New Roman"/>
                <w:b/>
              </w:rPr>
              <w:t>Energy Availability</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5</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Power Purchase including free power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809.81</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6</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Pool Losses %</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2.30%</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7</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Pool Losses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18.63</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8</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Net Power available (5-7)</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791.18</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9</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Own Generation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10.05</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10</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Total Power Available (8+9)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801.23</w:t>
            </w:r>
          </w:p>
        </w:tc>
      </w:tr>
      <w:tr w:rsidR="0011311D" w:rsidTr="0011311D">
        <w:tc>
          <w:tcPr>
            <w:tcW w:w="851"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11</w:t>
            </w:r>
          </w:p>
        </w:tc>
        <w:tc>
          <w:tcPr>
            <w:tcW w:w="3827" w:type="dxa"/>
          </w:tcPr>
          <w:p w:rsidR="0011311D" w:rsidRDefault="0011311D" w:rsidP="0011311D">
            <w:pPr>
              <w:jc w:val="both"/>
              <w:rPr>
                <w:rFonts w:ascii="Calibri" w:eastAsia="Calibri" w:hAnsi="Calibri" w:cs="Times New Roman"/>
              </w:rPr>
            </w:pPr>
            <w:r>
              <w:rPr>
                <w:rFonts w:ascii="Calibri" w:eastAsia="Calibri" w:hAnsi="Calibri" w:cs="Times New Roman"/>
              </w:rPr>
              <w:t>Surplus Power  (10-4)        MU</w:t>
            </w:r>
          </w:p>
        </w:tc>
        <w:tc>
          <w:tcPr>
            <w:tcW w:w="1937" w:type="dxa"/>
            <w:vAlign w:val="center"/>
          </w:tcPr>
          <w:p w:rsidR="0011311D" w:rsidRDefault="0011311D" w:rsidP="0011311D">
            <w:pPr>
              <w:jc w:val="both"/>
              <w:rPr>
                <w:rFonts w:ascii="Calibri" w:eastAsia="Calibri" w:hAnsi="Calibri" w:cs="Times New Roman"/>
              </w:rPr>
            </w:pPr>
            <w:r>
              <w:rPr>
                <w:rFonts w:ascii="Calibri" w:eastAsia="Calibri" w:hAnsi="Calibri" w:cs="Times New Roman"/>
              </w:rPr>
              <w:t>388.73</w:t>
            </w:r>
          </w:p>
        </w:tc>
      </w:tr>
    </w:tbl>
    <w:p w:rsidR="008E38FF" w:rsidRPr="008E38FF" w:rsidRDefault="008E38FF" w:rsidP="008E38FF">
      <w:pPr>
        <w:rPr>
          <w:lang w:val="en-US"/>
        </w:rPr>
      </w:pPr>
    </w:p>
    <w:p w:rsidR="00B37D8D" w:rsidRPr="00B37D8D" w:rsidRDefault="00B37D8D" w:rsidP="00B37D8D">
      <w:pPr>
        <w:rPr>
          <w:rFonts w:ascii="Calibri" w:eastAsia="Calibri" w:hAnsi="Calibri" w:cs="Times New Roman"/>
          <w:lang w:val="en-US"/>
        </w:rPr>
      </w:pPr>
    </w:p>
    <w:p w:rsidR="00B37D8D" w:rsidRDefault="00B37D8D" w:rsidP="00B37D8D">
      <w:pPr>
        <w:ind w:left="720"/>
        <w:jc w:val="both"/>
        <w:rPr>
          <w:rFonts w:ascii="Calibri" w:eastAsia="Calibri" w:hAnsi="Calibri" w:cs="Times New Roman"/>
          <w:b/>
        </w:rPr>
      </w:pPr>
    </w:p>
    <w:p w:rsidR="00823204" w:rsidRPr="004C2769" w:rsidRDefault="00823204">
      <w:pPr>
        <w:rPr>
          <w:rFonts w:cstheme="minorHAnsi"/>
          <w:sz w:val="24"/>
          <w:szCs w:val="24"/>
        </w:rPr>
      </w:pPr>
    </w:p>
    <w:p w:rsidR="00110074" w:rsidRDefault="00110074">
      <w:pPr>
        <w:rPr>
          <w:rFonts w:cstheme="minorHAnsi"/>
          <w:sz w:val="24"/>
          <w:szCs w:val="24"/>
        </w:rPr>
      </w:pPr>
    </w:p>
    <w:p w:rsidR="00110074" w:rsidRPr="00110074" w:rsidRDefault="00110074" w:rsidP="00110074">
      <w:pPr>
        <w:rPr>
          <w:rFonts w:cstheme="minorHAnsi"/>
          <w:sz w:val="24"/>
          <w:szCs w:val="24"/>
        </w:rPr>
      </w:pPr>
    </w:p>
    <w:p w:rsidR="00110074" w:rsidRPr="00110074" w:rsidRDefault="00110074" w:rsidP="00110074">
      <w:pPr>
        <w:rPr>
          <w:rFonts w:cstheme="minorHAnsi"/>
          <w:sz w:val="24"/>
          <w:szCs w:val="24"/>
        </w:rPr>
      </w:pPr>
    </w:p>
    <w:p w:rsidR="00110074" w:rsidRPr="00110074" w:rsidRDefault="00110074" w:rsidP="00110074">
      <w:pPr>
        <w:rPr>
          <w:rFonts w:cstheme="minorHAnsi"/>
          <w:sz w:val="24"/>
          <w:szCs w:val="24"/>
        </w:rPr>
      </w:pPr>
    </w:p>
    <w:p w:rsidR="00110074" w:rsidRPr="00110074" w:rsidRDefault="00110074" w:rsidP="00110074">
      <w:pPr>
        <w:rPr>
          <w:rFonts w:cstheme="minorHAnsi"/>
          <w:sz w:val="24"/>
          <w:szCs w:val="24"/>
        </w:rPr>
      </w:pPr>
    </w:p>
    <w:p w:rsidR="00110074" w:rsidRDefault="00110074" w:rsidP="00110074">
      <w:pPr>
        <w:rPr>
          <w:rFonts w:cstheme="minorHAnsi"/>
          <w:sz w:val="24"/>
          <w:szCs w:val="24"/>
        </w:rPr>
      </w:pPr>
    </w:p>
    <w:p w:rsidR="00613FD9" w:rsidRPr="00535B65" w:rsidRDefault="00110074" w:rsidP="00535B65">
      <w:pPr>
        <w:tabs>
          <w:tab w:val="left" w:pos="1410"/>
        </w:tabs>
        <w:rPr>
          <w:rFonts w:cstheme="minorHAnsi"/>
          <w:sz w:val="24"/>
          <w:szCs w:val="24"/>
        </w:rPr>
      </w:pPr>
      <w:r>
        <w:rPr>
          <w:rFonts w:cstheme="minorHAnsi"/>
          <w:sz w:val="24"/>
          <w:szCs w:val="24"/>
        </w:rPr>
        <w:tab/>
      </w:r>
      <w:r w:rsidRPr="002710D4">
        <w:rPr>
          <w:rFonts w:ascii="Calibri" w:hAnsi="Calibri"/>
          <w:b/>
          <w:bCs/>
          <w:sz w:val="24"/>
          <w:szCs w:val="24"/>
        </w:rPr>
        <w:tab/>
      </w:r>
      <w:r w:rsidRPr="002710D4">
        <w:rPr>
          <w:rFonts w:ascii="Calibri" w:hAnsi="Calibri"/>
          <w:b/>
          <w:bCs/>
          <w:sz w:val="24"/>
          <w:szCs w:val="24"/>
        </w:rPr>
        <w:tab/>
      </w:r>
      <w:r w:rsidRPr="002710D4">
        <w:rPr>
          <w:rFonts w:ascii="Calibri" w:hAnsi="Calibri"/>
          <w:b/>
          <w:bCs/>
          <w:sz w:val="24"/>
          <w:szCs w:val="24"/>
        </w:rPr>
        <w:tab/>
      </w:r>
      <w:r w:rsidRPr="002710D4">
        <w:rPr>
          <w:rFonts w:ascii="Calibri" w:hAnsi="Calibri"/>
          <w:b/>
          <w:bCs/>
          <w:sz w:val="24"/>
          <w:szCs w:val="24"/>
        </w:rPr>
        <w:tab/>
      </w:r>
    </w:p>
    <w:p w:rsidR="00110074" w:rsidRPr="002710D4" w:rsidRDefault="00110074" w:rsidP="00110074">
      <w:pPr>
        <w:ind w:left="1080"/>
        <w:jc w:val="center"/>
        <w:rPr>
          <w:rFonts w:ascii="Calibri" w:hAnsi="Calibri"/>
          <w:b/>
          <w:bCs/>
          <w:sz w:val="24"/>
          <w:szCs w:val="24"/>
        </w:rPr>
      </w:pPr>
      <w:r w:rsidRPr="002710D4">
        <w:rPr>
          <w:rFonts w:ascii="Calibri" w:hAnsi="Calibri"/>
          <w:b/>
          <w:bCs/>
          <w:sz w:val="24"/>
          <w:szCs w:val="24"/>
        </w:rPr>
        <w:lastRenderedPageBreak/>
        <w:t>Annexure-I</w:t>
      </w:r>
    </w:p>
    <w:p w:rsidR="00110074" w:rsidRPr="002710D4" w:rsidRDefault="002D57D2" w:rsidP="00110074">
      <w:pPr>
        <w:ind w:left="1080"/>
        <w:jc w:val="center"/>
        <w:rPr>
          <w:rFonts w:ascii="Calibri" w:hAnsi="Calibri"/>
          <w:b/>
          <w:bCs/>
          <w:sz w:val="24"/>
          <w:szCs w:val="24"/>
          <w:u w:val="single"/>
        </w:rPr>
      </w:pPr>
      <w:r>
        <w:rPr>
          <w:rFonts w:ascii="Calibri" w:hAnsi="Calibri"/>
          <w:b/>
          <w:bCs/>
          <w:sz w:val="24"/>
          <w:szCs w:val="24"/>
          <w:u w:val="single"/>
        </w:rPr>
        <w:t>Tariff Schedule f</w:t>
      </w:r>
      <w:r w:rsidR="00110074" w:rsidRPr="002710D4">
        <w:rPr>
          <w:rFonts w:ascii="Calibri" w:eastAsia="Calibri" w:hAnsi="Calibri" w:cs="Times New Roman"/>
          <w:b/>
          <w:bCs/>
          <w:sz w:val="24"/>
          <w:szCs w:val="24"/>
          <w:u w:val="single"/>
        </w:rPr>
        <w:t>or FY 2014-15</w:t>
      </w:r>
    </w:p>
    <w:p w:rsidR="002710D4" w:rsidRDefault="002710D4" w:rsidP="00110074">
      <w:pPr>
        <w:ind w:left="1080"/>
        <w:jc w:val="center"/>
        <w:rPr>
          <w:rFonts w:ascii="Calibri" w:eastAsia="Calibri" w:hAnsi="Calibri" w:cs="Times New Roman"/>
          <w:b/>
          <w:bCs/>
        </w:rPr>
      </w:pPr>
    </w:p>
    <w:tbl>
      <w:tblPr>
        <w:tblpPr w:leftFromText="180" w:rightFromText="180" w:vertAnchor="text" w:horzAnchor="page" w:tblpX="2548" w:tblpY="1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2152"/>
        <w:gridCol w:w="2521"/>
        <w:gridCol w:w="2180"/>
      </w:tblGrid>
      <w:tr w:rsidR="00110074" w:rsidTr="00110074">
        <w:trPr>
          <w:tblHeader/>
        </w:trPr>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Sl. No.</w:t>
            </w:r>
          </w:p>
        </w:tc>
        <w:tc>
          <w:tcPr>
            <w:tcW w:w="2152"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Category of Consumers</w:t>
            </w:r>
          </w:p>
        </w:tc>
        <w:tc>
          <w:tcPr>
            <w:tcW w:w="2521"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Demand Charges</w:t>
            </w:r>
          </w:p>
          <w:p w:rsidR="00110074" w:rsidRDefault="00110074" w:rsidP="00110074">
            <w:pPr>
              <w:jc w:val="both"/>
              <w:rPr>
                <w:rFonts w:ascii="Calibri" w:eastAsia="Calibri" w:hAnsi="Calibri" w:cs="Times New Roman"/>
                <w:b/>
                <w:bCs/>
                <w:sz w:val="16"/>
              </w:rPr>
            </w:pPr>
            <w:r>
              <w:rPr>
                <w:rFonts w:ascii="Calibri" w:eastAsia="Calibri" w:hAnsi="Calibri" w:cs="Times New Roman"/>
                <w:b/>
                <w:bCs/>
                <w:sz w:val="16"/>
              </w:rPr>
              <w:t>(HT Supply only)</w:t>
            </w:r>
          </w:p>
          <w:p w:rsidR="00110074" w:rsidRDefault="00110074" w:rsidP="00110074">
            <w:pPr>
              <w:jc w:val="both"/>
              <w:rPr>
                <w:rFonts w:ascii="Calibri" w:eastAsia="Calibri" w:hAnsi="Calibri" w:cs="Times New Roman"/>
                <w:b/>
                <w:bCs/>
              </w:rPr>
            </w:pPr>
            <w:r>
              <w:rPr>
                <w:rFonts w:ascii="Calibri" w:eastAsia="Calibri" w:hAnsi="Calibri" w:cs="Times New Roman"/>
                <w:b/>
                <w:bCs/>
              </w:rPr>
              <w:t xml:space="preserve">Rs/KVA/Month </w:t>
            </w:r>
          </w:p>
        </w:tc>
        <w:tc>
          <w:tcPr>
            <w:tcW w:w="2180"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Approved Energy Charges Paisa/KWH</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1</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Domestic (DLT)</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Up to 50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110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51 to 100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225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c)</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101 to 200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345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d)</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201 to 400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415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e)</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401 &amp; above</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440</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2</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Commercial (CLT)</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Up to 50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315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51 to 200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490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c)</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201 to 400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515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d)</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401 &amp; above</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540</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3</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Public Lighting</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Rural Areas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250</w:t>
            </w:r>
          </w:p>
        </w:tc>
      </w:tr>
      <w:tr w:rsidR="00110074" w:rsidTr="00110074">
        <w:tc>
          <w:tcPr>
            <w:tcW w:w="909" w:type="dxa"/>
            <w:vAlign w:val="center"/>
          </w:tcPr>
          <w:p w:rsidR="00110074" w:rsidRDefault="00110074" w:rsidP="00110074">
            <w:pPr>
              <w:jc w:val="both"/>
              <w:rPr>
                <w:rFonts w:ascii="Calibri" w:eastAsia="Calibri" w:hAnsi="Calibri" w:cs="Times New Roman"/>
                <w:bCs/>
              </w:rPr>
            </w:pP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Urban Areas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460</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4</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Industrial</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HT</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HT(AC) above 3.3 KV</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Upto 100 KVA</w:t>
            </w:r>
          </w:p>
        </w:tc>
        <w:tc>
          <w:tcPr>
            <w:tcW w:w="2521"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150</w:t>
            </w: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300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c)</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100 – 250 KVA</w:t>
            </w:r>
          </w:p>
        </w:tc>
        <w:tc>
          <w:tcPr>
            <w:tcW w:w="2521"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200</w:t>
            </w: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348</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lastRenderedPageBreak/>
              <w:t>d)</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250 – 500 KVA</w:t>
            </w:r>
          </w:p>
        </w:tc>
        <w:tc>
          <w:tcPr>
            <w:tcW w:w="2521"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230</w:t>
            </w: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396</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e)</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500 KVA &amp; above</w:t>
            </w:r>
          </w:p>
        </w:tc>
        <w:tc>
          <w:tcPr>
            <w:tcW w:w="2521"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450</w:t>
            </w: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410</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B</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LT (Rural)</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Up to 500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235</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501 – 1000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420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c)</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1001 &amp; above</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545</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C</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LT (Urban)</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Up to 500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480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501 – 1000 units</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550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c)</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1001 &amp; above</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620</w:t>
            </w:r>
          </w:p>
        </w:tc>
      </w:tr>
      <w:tr w:rsidR="00110074" w:rsidTr="00110074">
        <w:tc>
          <w:tcPr>
            <w:tcW w:w="909" w:type="dxa"/>
            <w:vAlign w:val="center"/>
          </w:tcPr>
          <w:p w:rsidR="00110074" w:rsidRDefault="00110074" w:rsidP="00110074">
            <w:pPr>
              <w:jc w:val="both"/>
              <w:rPr>
                <w:rFonts w:ascii="Calibri" w:eastAsia="Calibri" w:hAnsi="Calibri" w:cs="Times New Roman"/>
                <w:b/>
                <w:bCs/>
              </w:rPr>
            </w:pPr>
            <w:r>
              <w:rPr>
                <w:rFonts w:ascii="Calibri" w:eastAsia="Calibri" w:hAnsi="Calibri" w:cs="Times New Roman"/>
                <w:b/>
                <w:bCs/>
              </w:rPr>
              <w:t>5</w:t>
            </w:r>
          </w:p>
        </w:tc>
        <w:tc>
          <w:tcPr>
            <w:tcW w:w="2152" w:type="dxa"/>
          </w:tcPr>
          <w:p w:rsidR="00110074" w:rsidRDefault="00110074" w:rsidP="00110074">
            <w:pPr>
              <w:jc w:val="both"/>
              <w:rPr>
                <w:rFonts w:ascii="Calibri" w:eastAsia="Calibri" w:hAnsi="Calibri" w:cs="Times New Roman"/>
                <w:b/>
                <w:bCs/>
              </w:rPr>
            </w:pPr>
            <w:r>
              <w:rPr>
                <w:rFonts w:ascii="Calibri" w:eastAsia="Calibri" w:hAnsi="Calibri" w:cs="Times New Roman"/>
                <w:b/>
                <w:bCs/>
              </w:rPr>
              <w:t>Bulk Supply</w:t>
            </w:r>
          </w:p>
        </w:tc>
        <w:tc>
          <w:tcPr>
            <w:tcW w:w="2521" w:type="dxa"/>
            <w:vAlign w:val="bottom"/>
          </w:tcPr>
          <w:p w:rsidR="00110074" w:rsidRDefault="00110074" w:rsidP="00110074">
            <w:pPr>
              <w:jc w:val="both"/>
              <w:rPr>
                <w:rFonts w:ascii="Calibri" w:eastAsia="Calibri" w:hAnsi="Calibri" w:cs="Times New Roman"/>
                <w:b/>
                <w:bCs/>
              </w:rPr>
            </w:pPr>
          </w:p>
        </w:tc>
        <w:tc>
          <w:tcPr>
            <w:tcW w:w="2180" w:type="dxa"/>
            <w:vAlign w:val="bottom"/>
          </w:tcPr>
          <w:p w:rsidR="00110074" w:rsidRDefault="00110074" w:rsidP="00110074">
            <w:pPr>
              <w:jc w:val="both"/>
              <w:rPr>
                <w:rFonts w:ascii="Calibri" w:eastAsia="Calibri" w:hAnsi="Calibri" w:cs="Times New Roman"/>
                <w:b/>
                <w:bCs/>
              </w:rPr>
            </w:pP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a)</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LT</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540</w:t>
            </w:r>
          </w:p>
        </w:tc>
      </w:tr>
      <w:tr w:rsidR="00110074" w:rsidTr="00110074">
        <w:tc>
          <w:tcPr>
            <w:tcW w:w="909" w:type="dxa"/>
            <w:vAlign w:val="center"/>
          </w:tcPr>
          <w:p w:rsidR="00110074" w:rsidRDefault="00110074" w:rsidP="00110074">
            <w:pPr>
              <w:jc w:val="both"/>
              <w:rPr>
                <w:rFonts w:ascii="Calibri" w:eastAsia="Calibri" w:hAnsi="Calibri" w:cs="Times New Roman"/>
                <w:bCs/>
              </w:rPr>
            </w:pPr>
            <w:r>
              <w:rPr>
                <w:rFonts w:ascii="Calibri" w:eastAsia="Calibri" w:hAnsi="Calibri" w:cs="Times New Roman"/>
                <w:bCs/>
              </w:rPr>
              <w:t>b)</w:t>
            </w:r>
          </w:p>
        </w:tc>
        <w:tc>
          <w:tcPr>
            <w:tcW w:w="2152" w:type="dxa"/>
          </w:tcPr>
          <w:p w:rsidR="00110074" w:rsidRDefault="00110074" w:rsidP="00110074">
            <w:pPr>
              <w:jc w:val="both"/>
              <w:rPr>
                <w:rFonts w:ascii="Calibri" w:eastAsia="Calibri" w:hAnsi="Calibri" w:cs="Times New Roman"/>
                <w:bCs/>
              </w:rPr>
            </w:pPr>
            <w:r>
              <w:rPr>
                <w:rFonts w:ascii="Calibri" w:eastAsia="Calibri" w:hAnsi="Calibri" w:cs="Times New Roman"/>
                <w:bCs/>
              </w:rPr>
              <w:t>HT</w:t>
            </w:r>
          </w:p>
        </w:tc>
        <w:tc>
          <w:tcPr>
            <w:tcW w:w="2521" w:type="dxa"/>
            <w:vAlign w:val="bottom"/>
          </w:tcPr>
          <w:p w:rsidR="00110074" w:rsidRDefault="00110074" w:rsidP="00110074">
            <w:pPr>
              <w:jc w:val="both"/>
              <w:rPr>
                <w:rFonts w:ascii="Calibri" w:eastAsia="Calibri" w:hAnsi="Calibri" w:cs="Times New Roman"/>
                <w:bCs/>
              </w:rPr>
            </w:pPr>
          </w:p>
        </w:tc>
        <w:tc>
          <w:tcPr>
            <w:tcW w:w="2180" w:type="dxa"/>
            <w:vAlign w:val="bottom"/>
          </w:tcPr>
          <w:p w:rsidR="00110074" w:rsidRDefault="00110074" w:rsidP="00110074">
            <w:pPr>
              <w:jc w:val="both"/>
              <w:rPr>
                <w:rFonts w:ascii="Calibri" w:eastAsia="Calibri" w:hAnsi="Calibri" w:cs="Times New Roman"/>
                <w:bCs/>
              </w:rPr>
            </w:pPr>
            <w:r>
              <w:rPr>
                <w:rFonts w:ascii="Calibri" w:eastAsia="Calibri" w:hAnsi="Calibri" w:cs="Times New Roman"/>
                <w:bCs/>
              </w:rPr>
              <w:t>560</w:t>
            </w:r>
          </w:p>
        </w:tc>
      </w:tr>
    </w:tbl>
    <w:p w:rsidR="00110074" w:rsidRDefault="00110074" w:rsidP="00110074">
      <w:pPr>
        <w:ind w:left="1080"/>
        <w:jc w:val="center"/>
        <w:rPr>
          <w:rFonts w:ascii="Calibri" w:eastAsia="Calibri" w:hAnsi="Calibri" w:cs="Times New Roman"/>
          <w:b/>
          <w:bCs/>
        </w:rPr>
      </w:pPr>
    </w:p>
    <w:p w:rsidR="00110074" w:rsidRDefault="00110074" w:rsidP="00110074">
      <w:pPr>
        <w:tabs>
          <w:tab w:val="left" w:pos="1410"/>
        </w:tabs>
        <w:rPr>
          <w:rFonts w:cstheme="minorHAnsi"/>
          <w:sz w:val="24"/>
          <w:szCs w:val="24"/>
        </w:rPr>
      </w:pPr>
    </w:p>
    <w:p w:rsidR="00454C65" w:rsidRDefault="00454C65" w:rsidP="00110074">
      <w:pPr>
        <w:tabs>
          <w:tab w:val="left" w:pos="1410"/>
        </w:tabs>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Pr="00454C65" w:rsidRDefault="00454C65" w:rsidP="00454C65">
      <w:pPr>
        <w:rPr>
          <w:rFonts w:cstheme="minorHAnsi"/>
          <w:sz w:val="24"/>
          <w:szCs w:val="24"/>
        </w:rPr>
      </w:pPr>
    </w:p>
    <w:p w:rsidR="00454C65" w:rsidRDefault="00454C65" w:rsidP="00454C65">
      <w:pPr>
        <w:tabs>
          <w:tab w:val="left" w:pos="6075"/>
        </w:tabs>
        <w:rPr>
          <w:rFonts w:cstheme="minorHAnsi"/>
          <w:sz w:val="24"/>
          <w:szCs w:val="24"/>
        </w:rPr>
      </w:pPr>
      <w:r>
        <w:rPr>
          <w:rFonts w:cstheme="minorHAnsi"/>
          <w:sz w:val="24"/>
          <w:szCs w:val="24"/>
        </w:rPr>
        <w:tab/>
      </w: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Pr="00454C65" w:rsidRDefault="00454C65" w:rsidP="00454C65">
      <w:pPr>
        <w:tabs>
          <w:tab w:val="left" w:pos="6075"/>
        </w:tabs>
        <w:jc w:val="center"/>
        <w:rPr>
          <w:rFonts w:cstheme="minorHAnsi"/>
          <w:b/>
          <w:color w:val="C00000"/>
          <w:sz w:val="48"/>
          <w:szCs w:val="48"/>
        </w:rPr>
      </w:pPr>
      <w:r w:rsidRPr="00454C65">
        <w:rPr>
          <w:rFonts w:cstheme="minorHAnsi"/>
          <w:b/>
          <w:color w:val="C00000"/>
          <w:sz w:val="48"/>
          <w:szCs w:val="48"/>
        </w:rPr>
        <w:t>PHOTO GALLERY</w:t>
      </w: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rPr>
          <w:rFonts w:cstheme="minorHAnsi"/>
          <w:sz w:val="24"/>
          <w:szCs w:val="24"/>
        </w:rPr>
      </w:pPr>
    </w:p>
    <w:p w:rsidR="00454C65" w:rsidRDefault="00454C65" w:rsidP="00454C65">
      <w:pPr>
        <w:tabs>
          <w:tab w:val="left" w:pos="6075"/>
        </w:tabs>
        <w:jc w:val="center"/>
        <w:rPr>
          <w:rFonts w:cstheme="minorHAnsi"/>
          <w:sz w:val="24"/>
          <w:szCs w:val="24"/>
        </w:rPr>
      </w:pPr>
      <w:r w:rsidRPr="00454C65">
        <w:rPr>
          <w:rFonts w:cstheme="minorHAnsi"/>
          <w:noProof/>
          <w:sz w:val="24"/>
          <w:szCs w:val="24"/>
          <w:lang w:eastAsia="en-IN"/>
        </w:rPr>
        <w:drawing>
          <wp:inline distT="0" distB="0" distL="0" distR="0">
            <wp:extent cx="4838700" cy="3143250"/>
            <wp:effectExtent l="19050" t="0" r="0" b="0"/>
            <wp:docPr id="2" name="Picture 1" descr="C:\Users\lenovo\Desktop\New folder\RANGPO DAM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RANGPO DAM 01.JPG"/>
                    <pic:cNvPicPr>
                      <a:picLocks noChangeAspect="1" noChangeArrowheads="1"/>
                    </pic:cNvPicPr>
                  </pic:nvPicPr>
                  <pic:blipFill>
                    <a:blip r:embed="rId12" cstate="print"/>
                    <a:srcRect/>
                    <a:stretch>
                      <a:fillRect/>
                    </a:stretch>
                  </pic:blipFill>
                  <pic:spPr bwMode="auto">
                    <a:xfrm>
                      <a:off x="0" y="0"/>
                      <a:ext cx="4838700" cy="3143250"/>
                    </a:xfrm>
                    <a:prstGeom prst="rect">
                      <a:avLst/>
                    </a:prstGeom>
                    <a:noFill/>
                    <a:ln w="9525">
                      <a:noFill/>
                      <a:miter lim="800000"/>
                      <a:headEnd/>
                      <a:tailEnd/>
                    </a:ln>
                  </pic:spPr>
                </pic:pic>
              </a:graphicData>
            </a:graphic>
          </wp:inline>
        </w:drawing>
      </w:r>
    </w:p>
    <w:p w:rsidR="00454C65" w:rsidRDefault="00454C65" w:rsidP="00454C65">
      <w:pPr>
        <w:jc w:val="center"/>
        <w:rPr>
          <w:rFonts w:cstheme="minorHAnsi"/>
          <w:b/>
          <w:sz w:val="16"/>
          <w:szCs w:val="16"/>
        </w:rPr>
      </w:pPr>
      <w:r w:rsidRPr="00454C65">
        <w:rPr>
          <w:rFonts w:cstheme="minorHAnsi"/>
          <w:b/>
          <w:sz w:val="16"/>
          <w:szCs w:val="16"/>
        </w:rPr>
        <w:t>Rangpo Dam of 99 MW Chuzachen HEP(</w:t>
      </w:r>
      <w:r>
        <w:rPr>
          <w:rFonts w:cstheme="minorHAnsi"/>
          <w:b/>
          <w:sz w:val="16"/>
          <w:szCs w:val="16"/>
        </w:rPr>
        <w:t xml:space="preserve">Source- </w:t>
      </w:r>
      <w:r w:rsidRPr="00454C65">
        <w:rPr>
          <w:rFonts w:cstheme="minorHAnsi"/>
          <w:b/>
          <w:sz w:val="16"/>
          <w:szCs w:val="16"/>
        </w:rPr>
        <w:t>M/s Gati Infrastructures Ltd).</w:t>
      </w:r>
    </w:p>
    <w:p w:rsidR="00231F99" w:rsidRPr="00454C65" w:rsidRDefault="00231F99" w:rsidP="00454C65">
      <w:pPr>
        <w:jc w:val="center"/>
        <w:rPr>
          <w:rFonts w:cstheme="minorHAnsi"/>
          <w:b/>
          <w:sz w:val="16"/>
          <w:szCs w:val="16"/>
        </w:rPr>
      </w:pPr>
    </w:p>
    <w:p w:rsidR="00454C65" w:rsidRDefault="00454C65" w:rsidP="00454C65">
      <w:pPr>
        <w:jc w:val="center"/>
        <w:rPr>
          <w:rFonts w:cstheme="minorHAnsi"/>
          <w:sz w:val="24"/>
          <w:szCs w:val="24"/>
        </w:rPr>
      </w:pPr>
      <w:r>
        <w:rPr>
          <w:rFonts w:cstheme="minorHAnsi"/>
          <w:noProof/>
          <w:sz w:val="24"/>
          <w:szCs w:val="24"/>
          <w:lang w:eastAsia="en-IN"/>
        </w:rPr>
        <w:drawing>
          <wp:inline distT="0" distB="0" distL="0" distR="0">
            <wp:extent cx="4181475" cy="2790825"/>
            <wp:effectExtent l="19050" t="0" r="9525" b="0"/>
            <wp:docPr id="3" name="Picture 2" descr="C:\Users\lenovo\Desktop\New folder\Ranjit_Dam_&amp;_Reservoir_on_Rangit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New folder\Ranjit_Dam_&amp;_Reservoir_on_Rangit_River.jpg"/>
                    <pic:cNvPicPr>
                      <a:picLocks noChangeAspect="1" noChangeArrowheads="1"/>
                    </pic:cNvPicPr>
                  </pic:nvPicPr>
                  <pic:blipFill>
                    <a:blip r:embed="rId13"/>
                    <a:srcRect/>
                    <a:stretch>
                      <a:fillRect/>
                    </a:stretch>
                  </pic:blipFill>
                  <pic:spPr bwMode="auto">
                    <a:xfrm>
                      <a:off x="0" y="0"/>
                      <a:ext cx="4181475" cy="2790825"/>
                    </a:xfrm>
                    <a:prstGeom prst="rect">
                      <a:avLst/>
                    </a:prstGeom>
                    <a:noFill/>
                    <a:ln w="9525">
                      <a:noFill/>
                      <a:miter lim="800000"/>
                      <a:headEnd/>
                      <a:tailEnd/>
                    </a:ln>
                  </pic:spPr>
                </pic:pic>
              </a:graphicData>
            </a:graphic>
          </wp:inline>
        </w:drawing>
      </w:r>
    </w:p>
    <w:p w:rsidR="00454C65" w:rsidRDefault="00454C65" w:rsidP="00454C65">
      <w:pPr>
        <w:jc w:val="center"/>
        <w:rPr>
          <w:rFonts w:cstheme="minorHAnsi"/>
          <w:b/>
          <w:sz w:val="16"/>
          <w:szCs w:val="16"/>
        </w:rPr>
      </w:pPr>
      <w:r w:rsidRPr="00454C65">
        <w:rPr>
          <w:rFonts w:cstheme="minorHAnsi"/>
          <w:b/>
          <w:sz w:val="16"/>
          <w:szCs w:val="16"/>
        </w:rPr>
        <w:t>Dam of 66MW Rangit-III HEP (Source-NHPC Ltd)</w:t>
      </w:r>
    </w:p>
    <w:p w:rsidR="00454C65" w:rsidRDefault="00454C65" w:rsidP="00454C65">
      <w:pPr>
        <w:jc w:val="center"/>
        <w:rPr>
          <w:rFonts w:cstheme="minorHAnsi"/>
          <w:b/>
          <w:sz w:val="16"/>
          <w:szCs w:val="16"/>
        </w:rPr>
      </w:pPr>
    </w:p>
    <w:p w:rsidR="00454C65" w:rsidRDefault="00454C65" w:rsidP="00454C65">
      <w:pPr>
        <w:jc w:val="center"/>
        <w:rPr>
          <w:rFonts w:cstheme="minorHAnsi"/>
          <w:b/>
          <w:sz w:val="16"/>
          <w:szCs w:val="16"/>
        </w:rPr>
      </w:pPr>
    </w:p>
    <w:p w:rsidR="00454C65" w:rsidRDefault="00454C65" w:rsidP="00454C65">
      <w:pPr>
        <w:jc w:val="center"/>
        <w:rPr>
          <w:rFonts w:cstheme="minorHAnsi"/>
          <w:b/>
          <w:sz w:val="16"/>
          <w:szCs w:val="16"/>
        </w:rPr>
      </w:pPr>
    </w:p>
    <w:p w:rsidR="00454C65" w:rsidRDefault="00454C65" w:rsidP="00454C65">
      <w:pPr>
        <w:jc w:val="center"/>
        <w:rPr>
          <w:rFonts w:cstheme="minorHAnsi"/>
          <w:b/>
          <w:sz w:val="16"/>
          <w:szCs w:val="16"/>
        </w:rPr>
      </w:pPr>
    </w:p>
    <w:p w:rsidR="00454C65" w:rsidRDefault="00454C65" w:rsidP="00454C65">
      <w:pPr>
        <w:jc w:val="center"/>
        <w:rPr>
          <w:rFonts w:cstheme="minorHAnsi"/>
          <w:b/>
          <w:sz w:val="16"/>
          <w:szCs w:val="16"/>
        </w:rPr>
      </w:pPr>
    </w:p>
    <w:p w:rsidR="00454C65" w:rsidRDefault="00454C65" w:rsidP="00454C65">
      <w:pPr>
        <w:jc w:val="center"/>
        <w:rPr>
          <w:rFonts w:cstheme="minorHAnsi"/>
          <w:b/>
          <w:sz w:val="16"/>
          <w:szCs w:val="16"/>
        </w:rPr>
      </w:pPr>
      <w:r>
        <w:rPr>
          <w:rFonts w:cstheme="minorHAnsi"/>
          <w:b/>
          <w:noProof/>
          <w:sz w:val="16"/>
          <w:szCs w:val="16"/>
          <w:lang w:eastAsia="en-IN"/>
        </w:rPr>
        <w:drawing>
          <wp:inline distT="0" distB="0" distL="0" distR="0">
            <wp:extent cx="4800600" cy="2886075"/>
            <wp:effectExtent l="19050" t="0" r="0" b="0"/>
            <wp:docPr id="4" name="Picture 3" descr="C:\Users\lenovo\Documents\jorethang loop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jorethang loop dam.jpg"/>
                    <pic:cNvPicPr>
                      <a:picLocks noChangeAspect="1" noChangeArrowheads="1"/>
                    </pic:cNvPicPr>
                  </pic:nvPicPr>
                  <pic:blipFill>
                    <a:blip r:embed="rId14"/>
                    <a:srcRect/>
                    <a:stretch>
                      <a:fillRect/>
                    </a:stretch>
                  </pic:blipFill>
                  <pic:spPr bwMode="auto">
                    <a:xfrm>
                      <a:off x="0" y="0"/>
                      <a:ext cx="4804741" cy="2888565"/>
                    </a:xfrm>
                    <a:prstGeom prst="rect">
                      <a:avLst/>
                    </a:prstGeom>
                    <a:noFill/>
                    <a:ln w="9525">
                      <a:noFill/>
                      <a:miter lim="800000"/>
                      <a:headEnd/>
                      <a:tailEnd/>
                    </a:ln>
                  </pic:spPr>
                </pic:pic>
              </a:graphicData>
            </a:graphic>
          </wp:inline>
        </w:drawing>
      </w:r>
    </w:p>
    <w:p w:rsidR="00454C65" w:rsidRDefault="00454C65" w:rsidP="00454C65">
      <w:pPr>
        <w:tabs>
          <w:tab w:val="left" w:pos="4185"/>
        </w:tabs>
        <w:jc w:val="center"/>
        <w:rPr>
          <w:rFonts w:cstheme="minorHAnsi"/>
          <w:b/>
          <w:sz w:val="16"/>
          <w:szCs w:val="16"/>
        </w:rPr>
      </w:pPr>
      <w:r w:rsidRPr="00454C65">
        <w:rPr>
          <w:rFonts w:cstheme="minorHAnsi"/>
          <w:b/>
          <w:sz w:val="16"/>
          <w:szCs w:val="16"/>
        </w:rPr>
        <w:t>View of Barrage of 96 MW Jorethang Loop HEP</w:t>
      </w:r>
      <w:r>
        <w:rPr>
          <w:rFonts w:cstheme="minorHAnsi"/>
          <w:b/>
          <w:sz w:val="16"/>
          <w:szCs w:val="16"/>
        </w:rPr>
        <w:t xml:space="preserve"> (Source-DANS Energy Pvt Ltd)</w:t>
      </w:r>
    </w:p>
    <w:p w:rsidR="00FF73DD" w:rsidRDefault="00FF73DD" w:rsidP="00454C65">
      <w:pPr>
        <w:tabs>
          <w:tab w:val="left" w:pos="4185"/>
        </w:tabs>
        <w:jc w:val="center"/>
        <w:rPr>
          <w:rFonts w:cstheme="minorHAnsi"/>
          <w:b/>
          <w:sz w:val="16"/>
          <w:szCs w:val="16"/>
        </w:rPr>
      </w:pPr>
    </w:p>
    <w:p w:rsidR="00FF73DD" w:rsidRDefault="00FF73DD" w:rsidP="00454C65">
      <w:pPr>
        <w:tabs>
          <w:tab w:val="left" w:pos="4185"/>
        </w:tabs>
        <w:jc w:val="center"/>
        <w:rPr>
          <w:rFonts w:cstheme="minorHAnsi"/>
          <w:b/>
          <w:sz w:val="16"/>
          <w:szCs w:val="16"/>
        </w:rPr>
      </w:pPr>
    </w:p>
    <w:p w:rsidR="008E6381" w:rsidRDefault="008E6381" w:rsidP="00454C65">
      <w:pPr>
        <w:tabs>
          <w:tab w:val="left" w:pos="4185"/>
        </w:tabs>
        <w:jc w:val="center"/>
        <w:rPr>
          <w:rFonts w:cstheme="minorHAnsi"/>
          <w:b/>
          <w:sz w:val="16"/>
          <w:szCs w:val="16"/>
        </w:rPr>
      </w:pPr>
      <w:r>
        <w:rPr>
          <w:rFonts w:cstheme="minorHAnsi"/>
          <w:b/>
          <w:noProof/>
          <w:sz w:val="16"/>
          <w:szCs w:val="16"/>
          <w:lang w:eastAsia="en-IN"/>
        </w:rPr>
        <w:drawing>
          <wp:inline distT="0" distB="0" distL="0" distR="0">
            <wp:extent cx="5067299" cy="3190875"/>
            <wp:effectExtent l="19050" t="0" r="1" b="0"/>
            <wp:docPr id="6" name="Picture 1" descr="C:\Users\lenovo\Desktop\New folder\MBPCL- web photos\Power Hou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ew folder\MBPCL- web photos\Power House (4).jpg"/>
                    <pic:cNvPicPr>
                      <a:picLocks noChangeAspect="1" noChangeArrowheads="1"/>
                    </pic:cNvPicPr>
                  </pic:nvPicPr>
                  <pic:blipFill>
                    <a:blip r:embed="rId15" cstate="print"/>
                    <a:srcRect/>
                    <a:stretch>
                      <a:fillRect/>
                    </a:stretch>
                  </pic:blipFill>
                  <pic:spPr bwMode="auto">
                    <a:xfrm>
                      <a:off x="0" y="0"/>
                      <a:ext cx="5072752" cy="3194309"/>
                    </a:xfrm>
                    <a:prstGeom prst="rect">
                      <a:avLst/>
                    </a:prstGeom>
                    <a:noFill/>
                    <a:ln w="9525">
                      <a:noFill/>
                      <a:miter lim="800000"/>
                      <a:headEnd/>
                      <a:tailEnd/>
                    </a:ln>
                  </pic:spPr>
                </pic:pic>
              </a:graphicData>
            </a:graphic>
          </wp:inline>
        </w:drawing>
      </w:r>
    </w:p>
    <w:p w:rsidR="00FF73DD" w:rsidRDefault="008E6381" w:rsidP="008E6381">
      <w:pPr>
        <w:tabs>
          <w:tab w:val="left" w:pos="4185"/>
        </w:tabs>
        <w:jc w:val="center"/>
        <w:rPr>
          <w:rFonts w:cstheme="minorHAnsi"/>
          <w:b/>
          <w:sz w:val="16"/>
          <w:szCs w:val="16"/>
        </w:rPr>
      </w:pPr>
      <w:r>
        <w:rPr>
          <w:rFonts w:cstheme="minorHAnsi"/>
          <w:b/>
          <w:sz w:val="16"/>
          <w:szCs w:val="16"/>
        </w:rPr>
        <w:t>View of under-construction Powerhouse of 96 MW Rongnichu HEP.</w:t>
      </w:r>
    </w:p>
    <w:p w:rsidR="008E6381" w:rsidRDefault="008E6381" w:rsidP="008E6381">
      <w:pPr>
        <w:tabs>
          <w:tab w:val="left" w:pos="4185"/>
        </w:tabs>
        <w:jc w:val="center"/>
        <w:rPr>
          <w:rFonts w:cstheme="minorHAnsi"/>
          <w:b/>
          <w:sz w:val="16"/>
          <w:szCs w:val="16"/>
        </w:rPr>
      </w:pPr>
    </w:p>
    <w:p w:rsidR="008E6381" w:rsidRDefault="008E6381" w:rsidP="008E6381">
      <w:pPr>
        <w:tabs>
          <w:tab w:val="left" w:pos="4185"/>
        </w:tabs>
        <w:jc w:val="center"/>
        <w:rPr>
          <w:rFonts w:cstheme="minorHAnsi"/>
          <w:b/>
          <w:sz w:val="16"/>
          <w:szCs w:val="16"/>
        </w:rPr>
      </w:pPr>
    </w:p>
    <w:p w:rsidR="00B54E92" w:rsidRDefault="00B54E92" w:rsidP="008E6381">
      <w:pPr>
        <w:tabs>
          <w:tab w:val="left" w:pos="4185"/>
        </w:tabs>
        <w:jc w:val="center"/>
        <w:rPr>
          <w:rFonts w:cstheme="minorHAnsi"/>
          <w:b/>
          <w:sz w:val="16"/>
          <w:szCs w:val="16"/>
        </w:rPr>
      </w:pPr>
    </w:p>
    <w:p w:rsidR="00B54E92" w:rsidRDefault="00B54E92" w:rsidP="00B54E92">
      <w:pPr>
        <w:jc w:val="center"/>
        <w:rPr>
          <w:rFonts w:cstheme="minorHAnsi"/>
          <w:b/>
          <w:sz w:val="16"/>
          <w:szCs w:val="16"/>
        </w:rPr>
      </w:pPr>
    </w:p>
    <w:p w:rsidR="00B54E92" w:rsidRDefault="00B54E92" w:rsidP="00B54E92">
      <w:pPr>
        <w:jc w:val="center"/>
        <w:rPr>
          <w:rFonts w:cstheme="minorHAnsi"/>
          <w:b/>
          <w:sz w:val="16"/>
          <w:szCs w:val="16"/>
        </w:rPr>
      </w:pPr>
      <w:r>
        <w:rPr>
          <w:rFonts w:cstheme="minorHAnsi"/>
          <w:b/>
          <w:noProof/>
          <w:sz w:val="16"/>
          <w:szCs w:val="16"/>
          <w:lang w:eastAsia="en-IN"/>
        </w:rPr>
        <w:drawing>
          <wp:inline distT="0" distB="0" distL="0" distR="0">
            <wp:extent cx="5207000" cy="3400425"/>
            <wp:effectExtent l="19050" t="0" r="0" b="0"/>
            <wp:docPr id="8" name="Picture 3" descr="D:\data backup 27-3-15\download\POWERHOUSE PENSTOCK SWITCH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backup 27-3-15\download\POWERHOUSE PENSTOCK SWITCHYARD.JPG"/>
                    <pic:cNvPicPr>
                      <a:picLocks noChangeAspect="1" noChangeArrowheads="1"/>
                    </pic:cNvPicPr>
                  </pic:nvPicPr>
                  <pic:blipFill>
                    <a:blip r:embed="rId16" cstate="print"/>
                    <a:srcRect/>
                    <a:stretch>
                      <a:fillRect/>
                    </a:stretch>
                  </pic:blipFill>
                  <pic:spPr bwMode="auto">
                    <a:xfrm>
                      <a:off x="0" y="0"/>
                      <a:ext cx="5207000" cy="3400425"/>
                    </a:xfrm>
                    <a:prstGeom prst="rect">
                      <a:avLst/>
                    </a:prstGeom>
                    <a:noFill/>
                    <a:ln w="9525">
                      <a:noFill/>
                      <a:miter lim="800000"/>
                      <a:headEnd/>
                      <a:tailEnd/>
                    </a:ln>
                  </pic:spPr>
                </pic:pic>
              </a:graphicData>
            </a:graphic>
          </wp:inline>
        </w:drawing>
      </w:r>
    </w:p>
    <w:p w:rsidR="00B54E92" w:rsidRDefault="00B54E92" w:rsidP="00B54E92">
      <w:pPr>
        <w:tabs>
          <w:tab w:val="left" w:pos="4245"/>
        </w:tabs>
        <w:jc w:val="center"/>
        <w:rPr>
          <w:rFonts w:cstheme="minorHAnsi"/>
          <w:b/>
          <w:sz w:val="16"/>
          <w:szCs w:val="16"/>
        </w:rPr>
      </w:pPr>
      <w:r w:rsidRPr="00B54E92">
        <w:rPr>
          <w:rFonts w:cstheme="minorHAnsi"/>
          <w:b/>
          <w:sz w:val="16"/>
          <w:szCs w:val="16"/>
        </w:rPr>
        <w:t>View of Power House and Penstock of 99 MW Chuzachen HEP</w:t>
      </w:r>
    </w:p>
    <w:p w:rsidR="00762AF2" w:rsidRDefault="00762AF2" w:rsidP="00B54E92">
      <w:pPr>
        <w:tabs>
          <w:tab w:val="left" w:pos="4245"/>
        </w:tabs>
        <w:jc w:val="center"/>
        <w:rPr>
          <w:rFonts w:cstheme="minorHAnsi"/>
          <w:b/>
          <w:sz w:val="16"/>
          <w:szCs w:val="16"/>
        </w:rPr>
      </w:pPr>
    </w:p>
    <w:p w:rsidR="00762AF2" w:rsidRDefault="00762AF2" w:rsidP="00B54E92">
      <w:pPr>
        <w:tabs>
          <w:tab w:val="left" w:pos="4245"/>
        </w:tabs>
        <w:jc w:val="center"/>
        <w:rPr>
          <w:rFonts w:cstheme="minorHAnsi"/>
          <w:b/>
          <w:sz w:val="16"/>
          <w:szCs w:val="16"/>
        </w:rPr>
      </w:pPr>
      <w:r>
        <w:rPr>
          <w:rFonts w:cstheme="minorHAnsi"/>
          <w:b/>
          <w:noProof/>
          <w:sz w:val="16"/>
          <w:szCs w:val="16"/>
          <w:lang w:eastAsia="en-IN"/>
        </w:rPr>
        <w:drawing>
          <wp:inline distT="0" distB="0" distL="0" distR="0">
            <wp:extent cx="5191125" cy="2952750"/>
            <wp:effectExtent l="19050" t="0" r="9525" b="0"/>
            <wp:docPr id="9" name="Picture 4" descr="D:\data backup 27-3-15\download\Tashiding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backup 27-3-15\download\Tashiding Power House.jpg"/>
                    <pic:cNvPicPr>
                      <a:picLocks noChangeAspect="1" noChangeArrowheads="1"/>
                    </pic:cNvPicPr>
                  </pic:nvPicPr>
                  <pic:blipFill>
                    <a:blip r:embed="rId17" cstate="print"/>
                    <a:srcRect/>
                    <a:stretch>
                      <a:fillRect/>
                    </a:stretch>
                  </pic:blipFill>
                  <pic:spPr bwMode="auto">
                    <a:xfrm>
                      <a:off x="0" y="0"/>
                      <a:ext cx="5195696" cy="2955350"/>
                    </a:xfrm>
                    <a:prstGeom prst="rect">
                      <a:avLst/>
                    </a:prstGeom>
                    <a:noFill/>
                    <a:ln w="9525">
                      <a:noFill/>
                      <a:miter lim="800000"/>
                      <a:headEnd/>
                      <a:tailEnd/>
                    </a:ln>
                  </pic:spPr>
                </pic:pic>
              </a:graphicData>
            </a:graphic>
          </wp:inline>
        </w:drawing>
      </w:r>
    </w:p>
    <w:p w:rsidR="00762AF2" w:rsidRDefault="00762AF2" w:rsidP="00762AF2">
      <w:pPr>
        <w:jc w:val="center"/>
        <w:rPr>
          <w:rFonts w:cstheme="minorHAnsi"/>
          <w:b/>
          <w:sz w:val="16"/>
          <w:szCs w:val="16"/>
        </w:rPr>
      </w:pPr>
      <w:r>
        <w:rPr>
          <w:rFonts w:cstheme="minorHAnsi"/>
          <w:b/>
          <w:sz w:val="16"/>
          <w:szCs w:val="16"/>
        </w:rPr>
        <w:t>View of under-construction Powerhouse of 96 MW Tashiding HEP.</w:t>
      </w:r>
    </w:p>
    <w:p w:rsidR="00EE1F46" w:rsidRDefault="00EE1F46" w:rsidP="00762AF2">
      <w:pPr>
        <w:jc w:val="center"/>
        <w:rPr>
          <w:rFonts w:cstheme="minorHAnsi"/>
          <w:b/>
          <w:sz w:val="16"/>
          <w:szCs w:val="16"/>
        </w:rPr>
      </w:pPr>
    </w:p>
    <w:p w:rsidR="00EE1F46" w:rsidRDefault="00EE1F46" w:rsidP="00762AF2">
      <w:pPr>
        <w:jc w:val="center"/>
        <w:rPr>
          <w:rFonts w:cstheme="minorHAnsi"/>
          <w:b/>
          <w:sz w:val="16"/>
          <w:szCs w:val="16"/>
        </w:rPr>
      </w:pPr>
    </w:p>
    <w:p w:rsidR="00EE1F46" w:rsidRDefault="00EE1F46" w:rsidP="00762AF2">
      <w:pPr>
        <w:jc w:val="center"/>
        <w:rPr>
          <w:rFonts w:cstheme="minorHAnsi"/>
          <w:b/>
          <w:sz w:val="16"/>
          <w:szCs w:val="16"/>
        </w:rPr>
      </w:pPr>
    </w:p>
    <w:p w:rsidR="00EE1F46" w:rsidRPr="00762AF2" w:rsidRDefault="00EE1F46" w:rsidP="00762AF2">
      <w:pPr>
        <w:jc w:val="center"/>
        <w:rPr>
          <w:rFonts w:cstheme="minorHAnsi"/>
          <w:b/>
          <w:sz w:val="16"/>
          <w:szCs w:val="16"/>
        </w:rPr>
      </w:pPr>
    </w:p>
    <w:sectPr w:rsidR="00EE1F46" w:rsidRPr="00762AF2" w:rsidSect="00535B65">
      <w:footerReference w:type="default" r:id="rId18"/>
      <w:pgSz w:w="11907" w:h="16839" w:code="9"/>
      <w:pgMar w:top="993" w:right="992" w:bottom="567" w:left="1440"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336" w:rsidRDefault="00672336" w:rsidP="003C5BC9">
      <w:pPr>
        <w:spacing w:after="0" w:line="240" w:lineRule="auto"/>
      </w:pPr>
      <w:r>
        <w:separator/>
      </w:r>
    </w:p>
  </w:endnote>
  <w:endnote w:type="continuationSeparator" w:id="1">
    <w:p w:rsidR="00672336" w:rsidRDefault="00672336" w:rsidP="003C5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D2" w:rsidRDefault="000D4CD2">
    <w:pPr>
      <w:pStyle w:val="Footer"/>
      <w:jc w:val="center"/>
    </w:pPr>
  </w:p>
  <w:p w:rsidR="000D4CD2" w:rsidRDefault="000D4C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D2" w:rsidRDefault="001E2EC3">
    <w:pPr>
      <w:pStyle w:val="Footer"/>
      <w:jc w:val="center"/>
    </w:pPr>
    <w:fldSimple w:instr=" PAGE   \* MERGEFORMAT ">
      <w:r w:rsidR="00450C47">
        <w:rPr>
          <w:noProof/>
        </w:rPr>
        <w:t>20</w:t>
      </w:r>
    </w:fldSimple>
  </w:p>
  <w:p w:rsidR="000D4CD2" w:rsidRDefault="000D4C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336" w:rsidRDefault="00672336" w:rsidP="003C5BC9">
      <w:pPr>
        <w:spacing w:after="0" w:line="240" w:lineRule="auto"/>
      </w:pPr>
      <w:r>
        <w:separator/>
      </w:r>
    </w:p>
  </w:footnote>
  <w:footnote w:type="continuationSeparator" w:id="1">
    <w:p w:rsidR="00672336" w:rsidRDefault="00672336" w:rsidP="003C5B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D2" w:rsidRPr="0051688B" w:rsidRDefault="001E2EC3">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sdt>
      <w:sdtPr>
        <w:rPr>
          <w:rFonts w:asciiTheme="majorHAnsi" w:eastAsiaTheme="majorEastAsia" w:hAnsiTheme="majorHAnsi" w:cstheme="majorBidi"/>
          <w:b/>
          <w:color w:val="C00000"/>
          <w:sz w:val="32"/>
          <w:szCs w:val="32"/>
        </w:rPr>
        <w:alias w:val="Title"/>
        <w:id w:val="558548"/>
        <w:dataBinding w:prefixMappings="xmlns:ns0='http://schemas.openxmlformats.org/package/2006/metadata/core-properties' xmlns:ns1='http://purl.org/dc/elements/1.1/'" w:xpath="/ns0:coreProperties[1]/ns1:title[1]" w:storeItemID="{6C3C8BC8-F283-45AE-878A-BAB7291924A1}"/>
        <w:text/>
      </w:sdtPr>
      <w:sdtContent>
        <w:r w:rsidR="000D4CD2" w:rsidRPr="00C51525">
          <w:rPr>
            <w:rFonts w:asciiTheme="majorHAnsi" w:eastAsiaTheme="majorEastAsia" w:hAnsiTheme="majorHAnsi" w:cstheme="majorBidi"/>
            <w:b/>
            <w:color w:val="C00000"/>
            <w:sz w:val="32"/>
            <w:szCs w:val="32"/>
          </w:rPr>
          <w:t>ANNUAL REPORT FOR THE YEAR 2014-15</w:t>
        </w:r>
      </w:sdtContent>
    </w:sdt>
  </w:p>
  <w:p w:rsidR="000D4CD2" w:rsidRDefault="000D4CD2" w:rsidP="003C5BC9">
    <w:pPr>
      <w:pStyle w:val="Header"/>
      <w:jc w:val="center"/>
      <w:rPr>
        <w:b/>
        <w:color w:val="000000" w:themeColor="text1"/>
      </w:rPr>
    </w:pPr>
    <w:r w:rsidRPr="0051688B">
      <w:rPr>
        <w:b/>
        <w:color w:val="000000" w:themeColor="text1"/>
      </w:rPr>
      <w:t>SIKKIM STATE ELECTRICITY REGULATORY COMMISSION</w:t>
    </w:r>
  </w:p>
  <w:p w:rsidR="000D4CD2" w:rsidRDefault="000D4CD2" w:rsidP="003C5BC9">
    <w:pPr>
      <w:pStyle w:val="Header"/>
      <w:jc w:val="center"/>
      <w:rPr>
        <w:b/>
        <w:color w:val="000000" w:themeColor="text1"/>
      </w:rPr>
    </w:pPr>
  </w:p>
  <w:p w:rsidR="000D4CD2" w:rsidRPr="0051688B" w:rsidRDefault="000D4CD2" w:rsidP="003C5BC9">
    <w:pPr>
      <w:pStyle w:val="Header"/>
      <w:jc w:val="center"/>
      <w:rPr>
        <w:b/>
        <w:color w:val="000000" w:themeColor="text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FD4BFA"/>
    <w:multiLevelType w:val="hybridMultilevel"/>
    <w:tmpl w:val="DA987860"/>
    <w:lvl w:ilvl="0" w:tplc="6A02387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62286BDB"/>
    <w:multiLevelType w:val="hybridMultilevel"/>
    <w:tmpl w:val="176CF7A8"/>
    <w:lvl w:ilvl="0" w:tplc="695A1E9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77C91E0F"/>
    <w:multiLevelType w:val="hybridMultilevel"/>
    <w:tmpl w:val="962A6ECE"/>
    <w:lvl w:ilvl="0" w:tplc="7030712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2530">
      <o:colormenu v:ext="edit" fillcolor="none [3214]"/>
    </o:shapedefaults>
  </w:hdrShapeDefaults>
  <w:footnotePr>
    <w:footnote w:id="0"/>
    <w:footnote w:id="1"/>
  </w:footnotePr>
  <w:endnotePr>
    <w:endnote w:id="0"/>
    <w:endnote w:id="1"/>
  </w:endnotePr>
  <w:compat/>
  <w:rsids>
    <w:rsidRoot w:val="002F21F3"/>
    <w:rsid w:val="000005F6"/>
    <w:rsid w:val="000210F5"/>
    <w:rsid w:val="00032511"/>
    <w:rsid w:val="000461B4"/>
    <w:rsid w:val="000473BF"/>
    <w:rsid w:val="000537D7"/>
    <w:rsid w:val="00077305"/>
    <w:rsid w:val="00080927"/>
    <w:rsid w:val="000814AE"/>
    <w:rsid w:val="00081A85"/>
    <w:rsid w:val="000942C0"/>
    <w:rsid w:val="000B3898"/>
    <w:rsid w:val="000B3BF5"/>
    <w:rsid w:val="000B5BBA"/>
    <w:rsid w:val="000C7279"/>
    <w:rsid w:val="000D0E86"/>
    <w:rsid w:val="000D253C"/>
    <w:rsid w:val="000D4CD2"/>
    <w:rsid w:val="000E2748"/>
    <w:rsid w:val="000E3D34"/>
    <w:rsid w:val="001059F8"/>
    <w:rsid w:val="001074E1"/>
    <w:rsid w:val="00110074"/>
    <w:rsid w:val="0011311D"/>
    <w:rsid w:val="00113F26"/>
    <w:rsid w:val="001214C2"/>
    <w:rsid w:val="00130E13"/>
    <w:rsid w:val="00132F47"/>
    <w:rsid w:val="001438DF"/>
    <w:rsid w:val="001444EA"/>
    <w:rsid w:val="00156F15"/>
    <w:rsid w:val="001763CA"/>
    <w:rsid w:val="00193128"/>
    <w:rsid w:val="00196E7C"/>
    <w:rsid w:val="001A2AB0"/>
    <w:rsid w:val="001B4004"/>
    <w:rsid w:val="001B777D"/>
    <w:rsid w:val="001C0125"/>
    <w:rsid w:val="001C0641"/>
    <w:rsid w:val="001C597F"/>
    <w:rsid w:val="001D5398"/>
    <w:rsid w:val="001D7FE2"/>
    <w:rsid w:val="001E2EC3"/>
    <w:rsid w:val="001F21A3"/>
    <w:rsid w:val="001F3C0D"/>
    <w:rsid w:val="00216D45"/>
    <w:rsid w:val="00230564"/>
    <w:rsid w:val="00231AD1"/>
    <w:rsid w:val="00231F99"/>
    <w:rsid w:val="00240915"/>
    <w:rsid w:val="002443D2"/>
    <w:rsid w:val="00246E10"/>
    <w:rsid w:val="00253122"/>
    <w:rsid w:val="00257FC3"/>
    <w:rsid w:val="00266DA4"/>
    <w:rsid w:val="002710D4"/>
    <w:rsid w:val="0027563A"/>
    <w:rsid w:val="0028257F"/>
    <w:rsid w:val="0029291E"/>
    <w:rsid w:val="002947EE"/>
    <w:rsid w:val="00296C59"/>
    <w:rsid w:val="002A6A37"/>
    <w:rsid w:val="002C6A81"/>
    <w:rsid w:val="002D1424"/>
    <w:rsid w:val="002D1DB3"/>
    <w:rsid w:val="002D57D2"/>
    <w:rsid w:val="002F21F3"/>
    <w:rsid w:val="00305CC1"/>
    <w:rsid w:val="003134AA"/>
    <w:rsid w:val="003140F4"/>
    <w:rsid w:val="00314597"/>
    <w:rsid w:val="0032519E"/>
    <w:rsid w:val="0034148E"/>
    <w:rsid w:val="00343493"/>
    <w:rsid w:val="0034628E"/>
    <w:rsid w:val="00352CC9"/>
    <w:rsid w:val="0035372B"/>
    <w:rsid w:val="003A13F2"/>
    <w:rsid w:val="003B4856"/>
    <w:rsid w:val="003C5BC9"/>
    <w:rsid w:val="003D08E8"/>
    <w:rsid w:val="003D0910"/>
    <w:rsid w:val="003E1206"/>
    <w:rsid w:val="003E4712"/>
    <w:rsid w:val="003E4CE5"/>
    <w:rsid w:val="003E7AE5"/>
    <w:rsid w:val="003F245E"/>
    <w:rsid w:val="004044DB"/>
    <w:rsid w:val="00421C58"/>
    <w:rsid w:val="00421E77"/>
    <w:rsid w:val="0042496D"/>
    <w:rsid w:val="00424F56"/>
    <w:rsid w:val="004278E6"/>
    <w:rsid w:val="00430FA0"/>
    <w:rsid w:val="00431454"/>
    <w:rsid w:val="00444180"/>
    <w:rsid w:val="00450C47"/>
    <w:rsid w:val="004515ED"/>
    <w:rsid w:val="004538F8"/>
    <w:rsid w:val="00454C65"/>
    <w:rsid w:val="00465EE0"/>
    <w:rsid w:val="004756BE"/>
    <w:rsid w:val="00486C5D"/>
    <w:rsid w:val="004A4DA3"/>
    <w:rsid w:val="004A6989"/>
    <w:rsid w:val="004C2769"/>
    <w:rsid w:val="0051688B"/>
    <w:rsid w:val="005226D1"/>
    <w:rsid w:val="00523733"/>
    <w:rsid w:val="00533854"/>
    <w:rsid w:val="00535B65"/>
    <w:rsid w:val="00540BC3"/>
    <w:rsid w:val="0055047C"/>
    <w:rsid w:val="0055700E"/>
    <w:rsid w:val="00560684"/>
    <w:rsid w:val="00564B65"/>
    <w:rsid w:val="0057170F"/>
    <w:rsid w:val="00573324"/>
    <w:rsid w:val="00576BFB"/>
    <w:rsid w:val="005A7A8B"/>
    <w:rsid w:val="005C4028"/>
    <w:rsid w:val="005D238C"/>
    <w:rsid w:val="005D5BA1"/>
    <w:rsid w:val="005D6FAE"/>
    <w:rsid w:val="005F08AD"/>
    <w:rsid w:val="005F2E7B"/>
    <w:rsid w:val="005F4C2E"/>
    <w:rsid w:val="006022A4"/>
    <w:rsid w:val="00613FD9"/>
    <w:rsid w:val="006303AC"/>
    <w:rsid w:val="00631D05"/>
    <w:rsid w:val="0063213A"/>
    <w:rsid w:val="006405E8"/>
    <w:rsid w:val="00656614"/>
    <w:rsid w:val="0065695D"/>
    <w:rsid w:val="00661D45"/>
    <w:rsid w:val="00672336"/>
    <w:rsid w:val="00692679"/>
    <w:rsid w:val="006953DC"/>
    <w:rsid w:val="006A334C"/>
    <w:rsid w:val="006A7BFD"/>
    <w:rsid w:val="006C080B"/>
    <w:rsid w:val="006D1145"/>
    <w:rsid w:val="00700124"/>
    <w:rsid w:val="007019F5"/>
    <w:rsid w:val="00711515"/>
    <w:rsid w:val="007216BC"/>
    <w:rsid w:val="007220E7"/>
    <w:rsid w:val="00745B2E"/>
    <w:rsid w:val="00761BD7"/>
    <w:rsid w:val="00762AF2"/>
    <w:rsid w:val="00762D54"/>
    <w:rsid w:val="007640A7"/>
    <w:rsid w:val="00770AAE"/>
    <w:rsid w:val="00773ED1"/>
    <w:rsid w:val="00781F16"/>
    <w:rsid w:val="00787F9F"/>
    <w:rsid w:val="00793721"/>
    <w:rsid w:val="00793D59"/>
    <w:rsid w:val="00796217"/>
    <w:rsid w:val="007B2142"/>
    <w:rsid w:val="007B63B3"/>
    <w:rsid w:val="007C1B31"/>
    <w:rsid w:val="007E6FF0"/>
    <w:rsid w:val="00801D13"/>
    <w:rsid w:val="00802D5A"/>
    <w:rsid w:val="00804BBB"/>
    <w:rsid w:val="0080551E"/>
    <w:rsid w:val="0081057D"/>
    <w:rsid w:val="008167A2"/>
    <w:rsid w:val="00823204"/>
    <w:rsid w:val="00826AF7"/>
    <w:rsid w:val="008328B5"/>
    <w:rsid w:val="0083480E"/>
    <w:rsid w:val="00836CEB"/>
    <w:rsid w:val="008427DD"/>
    <w:rsid w:val="008532A0"/>
    <w:rsid w:val="008621BB"/>
    <w:rsid w:val="008906E2"/>
    <w:rsid w:val="008A3099"/>
    <w:rsid w:val="008A726D"/>
    <w:rsid w:val="008C124C"/>
    <w:rsid w:val="008E38FF"/>
    <w:rsid w:val="008E51FA"/>
    <w:rsid w:val="008E6381"/>
    <w:rsid w:val="009139C8"/>
    <w:rsid w:val="00923378"/>
    <w:rsid w:val="009300A1"/>
    <w:rsid w:val="009376A9"/>
    <w:rsid w:val="0093774A"/>
    <w:rsid w:val="00945113"/>
    <w:rsid w:val="00951B81"/>
    <w:rsid w:val="00961065"/>
    <w:rsid w:val="00962CB5"/>
    <w:rsid w:val="00963280"/>
    <w:rsid w:val="00975DF3"/>
    <w:rsid w:val="009830AA"/>
    <w:rsid w:val="00985198"/>
    <w:rsid w:val="00990F1D"/>
    <w:rsid w:val="00997362"/>
    <w:rsid w:val="009A19AF"/>
    <w:rsid w:val="009B2DAB"/>
    <w:rsid w:val="00A457D5"/>
    <w:rsid w:val="00A773B7"/>
    <w:rsid w:val="00A867D8"/>
    <w:rsid w:val="00A87C39"/>
    <w:rsid w:val="00AB01B7"/>
    <w:rsid w:val="00AB1A20"/>
    <w:rsid w:val="00AB5400"/>
    <w:rsid w:val="00AD2EDD"/>
    <w:rsid w:val="00AE5137"/>
    <w:rsid w:val="00AE5B3C"/>
    <w:rsid w:val="00AF1837"/>
    <w:rsid w:val="00B03146"/>
    <w:rsid w:val="00B24266"/>
    <w:rsid w:val="00B26E84"/>
    <w:rsid w:val="00B34A3D"/>
    <w:rsid w:val="00B36C13"/>
    <w:rsid w:val="00B37D8D"/>
    <w:rsid w:val="00B54E92"/>
    <w:rsid w:val="00B646E4"/>
    <w:rsid w:val="00B759AE"/>
    <w:rsid w:val="00B80ED9"/>
    <w:rsid w:val="00BA571C"/>
    <w:rsid w:val="00BB630B"/>
    <w:rsid w:val="00BC6730"/>
    <w:rsid w:val="00BD3712"/>
    <w:rsid w:val="00BD6FC1"/>
    <w:rsid w:val="00BD7339"/>
    <w:rsid w:val="00BD7417"/>
    <w:rsid w:val="00BF02A5"/>
    <w:rsid w:val="00C14CC5"/>
    <w:rsid w:val="00C206CF"/>
    <w:rsid w:val="00C25874"/>
    <w:rsid w:val="00C32815"/>
    <w:rsid w:val="00C40099"/>
    <w:rsid w:val="00C51525"/>
    <w:rsid w:val="00C55A9E"/>
    <w:rsid w:val="00C6085F"/>
    <w:rsid w:val="00C752BD"/>
    <w:rsid w:val="00C8579C"/>
    <w:rsid w:val="00C95021"/>
    <w:rsid w:val="00CA046A"/>
    <w:rsid w:val="00CB0CEE"/>
    <w:rsid w:val="00CC6E1A"/>
    <w:rsid w:val="00CD175D"/>
    <w:rsid w:val="00CE27E9"/>
    <w:rsid w:val="00CE51A5"/>
    <w:rsid w:val="00CF1BB7"/>
    <w:rsid w:val="00CF2B99"/>
    <w:rsid w:val="00CF3E0E"/>
    <w:rsid w:val="00D1586D"/>
    <w:rsid w:val="00D20832"/>
    <w:rsid w:val="00D23471"/>
    <w:rsid w:val="00D419DE"/>
    <w:rsid w:val="00D429AF"/>
    <w:rsid w:val="00D65F8F"/>
    <w:rsid w:val="00D665A0"/>
    <w:rsid w:val="00D7288E"/>
    <w:rsid w:val="00D80863"/>
    <w:rsid w:val="00D86288"/>
    <w:rsid w:val="00D93E57"/>
    <w:rsid w:val="00DA5037"/>
    <w:rsid w:val="00DB24A3"/>
    <w:rsid w:val="00DC5D37"/>
    <w:rsid w:val="00DF2518"/>
    <w:rsid w:val="00DF5D97"/>
    <w:rsid w:val="00E03C33"/>
    <w:rsid w:val="00E2502C"/>
    <w:rsid w:val="00E260F5"/>
    <w:rsid w:val="00E26577"/>
    <w:rsid w:val="00E461EF"/>
    <w:rsid w:val="00E46373"/>
    <w:rsid w:val="00E5344F"/>
    <w:rsid w:val="00E629BD"/>
    <w:rsid w:val="00E64988"/>
    <w:rsid w:val="00E6534C"/>
    <w:rsid w:val="00E702B7"/>
    <w:rsid w:val="00E77D89"/>
    <w:rsid w:val="00E873B1"/>
    <w:rsid w:val="00E904B9"/>
    <w:rsid w:val="00EB3A90"/>
    <w:rsid w:val="00EB6259"/>
    <w:rsid w:val="00ED43AA"/>
    <w:rsid w:val="00EE1F46"/>
    <w:rsid w:val="00EF6240"/>
    <w:rsid w:val="00F00E5F"/>
    <w:rsid w:val="00F23046"/>
    <w:rsid w:val="00F4241B"/>
    <w:rsid w:val="00F549A4"/>
    <w:rsid w:val="00F66D9F"/>
    <w:rsid w:val="00F83FD2"/>
    <w:rsid w:val="00F8672C"/>
    <w:rsid w:val="00F91704"/>
    <w:rsid w:val="00F93EEB"/>
    <w:rsid w:val="00F9553B"/>
    <w:rsid w:val="00FA0C45"/>
    <w:rsid w:val="00FD692C"/>
    <w:rsid w:val="00FE6BE1"/>
    <w:rsid w:val="00FF0DE6"/>
    <w:rsid w:val="00FF73D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597"/>
  </w:style>
  <w:style w:type="paragraph" w:styleId="Heading1">
    <w:name w:val="heading 1"/>
    <w:basedOn w:val="Normal"/>
    <w:next w:val="Normal"/>
    <w:link w:val="Heading1Char"/>
    <w:qFormat/>
    <w:rsid w:val="001B4004"/>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204"/>
    <w:pPr>
      <w:spacing w:after="0" w:line="240" w:lineRule="auto"/>
    </w:pPr>
  </w:style>
  <w:style w:type="table" w:styleId="TableGrid">
    <w:name w:val="Table Grid"/>
    <w:basedOn w:val="TableNormal"/>
    <w:uiPriority w:val="59"/>
    <w:rsid w:val="00C328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814AE"/>
    <w:pPr>
      <w:ind w:left="720"/>
      <w:contextualSpacing/>
    </w:pPr>
  </w:style>
  <w:style w:type="character" w:customStyle="1" w:styleId="Heading1Char">
    <w:name w:val="Heading 1 Char"/>
    <w:basedOn w:val="DefaultParagraphFont"/>
    <w:link w:val="Heading1"/>
    <w:rsid w:val="001B4004"/>
    <w:rPr>
      <w:rFonts w:ascii="Arial" w:eastAsia="Times New Roman" w:hAnsi="Arial" w:cs="Arial"/>
      <w:b/>
      <w:bCs/>
      <w:kern w:val="32"/>
      <w:sz w:val="32"/>
      <w:szCs w:val="32"/>
      <w:lang w:val="en-US"/>
    </w:rPr>
  </w:style>
  <w:style w:type="paragraph" w:styleId="BodyTextIndent">
    <w:name w:val="Body Text Indent"/>
    <w:basedOn w:val="Normal"/>
    <w:link w:val="BodyTextIndentChar"/>
    <w:semiHidden/>
    <w:rsid w:val="001B4004"/>
    <w:pPr>
      <w:spacing w:after="0" w:line="360" w:lineRule="auto"/>
      <w:ind w:left="720"/>
      <w:jc w:val="both"/>
    </w:pPr>
    <w:rPr>
      <w:rFonts w:ascii="Calibri" w:eastAsia="Times New Roman" w:hAnsi="Calibri" w:cs="Times New Roman"/>
      <w:sz w:val="24"/>
      <w:szCs w:val="24"/>
      <w:lang w:val="en-US"/>
    </w:rPr>
  </w:style>
  <w:style w:type="character" w:customStyle="1" w:styleId="BodyTextIndentChar">
    <w:name w:val="Body Text Indent Char"/>
    <w:basedOn w:val="DefaultParagraphFont"/>
    <w:link w:val="BodyTextIndent"/>
    <w:semiHidden/>
    <w:rsid w:val="001B4004"/>
    <w:rPr>
      <w:rFonts w:ascii="Calibri" w:eastAsia="Times New Roman" w:hAnsi="Calibri" w:cs="Times New Roman"/>
      <w:sz w:val="24"/>
      <w:szCs w:val="24"/>
      <w:lang w:val="en-US"/>
    </w:rPr>
  </w:style>
  <w:style w:type="paragraph" w:styleId="BodyTextIndent3">
    <w:name w:val="Body Text Indent 3"/>
    <w:basedOn w:val="Normal"/>
    <w:link w:val="BodyTextIndent3Char"/>
    <w:uiPriority w:val="99"/>
    <w:semiHidden/>
    <w:unhideWhenUsed/>
    <w:rsid w:val="001763C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3CA"/>
    <w:rPr>
      <w:sz w:val="16"/>
      <w:szCs w:val="16"/>
    </w:rPr>
  </w:style>
  <w:style w:type="paragraph" w:customStyle="1" w:styleId="Default">
    <w:name w:val="Default"/>
    <w:rsid w:val="00C14CC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itle">
    <w:name w:val="Title"/>
    <w:basedOn w:val="Normal"/>
    <w:next w:val="Normal"/>
    <w:link w:val="TitleChar"/>
    <w:qFormat/>
    <w:rsid w:val="001B777D"/>
    <w:pPr>
      <w:spacing w:after="0" w:line="360" w:lineRule="auto"/>
      <w:ind w:left="720"/>
      <w:jc w:val="center"/>
      <w:outlineLvl w:val="0"/>
    </w:pPr>
    <w:rPr>
      <w:rFonts w:ascii="Calibri" w:eastAsia="Times New Roman" w:hAnsi="Calibri" w:cs="Times New Roman"/>
      <w:b/>
      <w:bCs/>
      <w:szCs w:val="32"/>
    </w:rPr>
  </w:style>
  <w:style w:type="character" w:customStyle="1" w:styleId="TitleChar">
    <w:name w:val="Title Char"/>
    <w:basedOn w:val="DefaultParagraphFont"/>
    <w:link w:val="Title"/>
    <w:rsid w:val="001B777D"/>
    <w:rPr>
      <w:rFonts w:ascii="Calibri" w:eastAsia="Times New Roman" w:hAnsi="Calibri" w:cs="Times New Roman"/>
      <w:b/>
      <w:bCs/>
      <w:szCs w:val="32"/>
    </w:rPr>
  </w:style>
  <w:style w:type="paragraph" w:styleId="Header">
    <w:name w:val="header"/>
    <w:basedOn w:val="Normal"/>
    <w:link w:val="HeaderChar"/>
    <w:uiPriority w:val="99"/>
    <w:unhideWhenUsed/>
    <w:rsid w:val="003C5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BC9"/>
  </w:style>
  <w:style w:type="paragraph" w:styleId="Footer">
    <w:name w:val="footer"/>
    <w:basedOn w:val="Normal"/>
    <w:link w:val="FooterChar"/>
    <w:uiPriority w:val="99"/>
    <w:unhideWhenUsed/>
    <w:rsid w:val="003C5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BC9"/>
  </w:style>
  <w:style w:type="paragraph" w:styleId="BalloonText">
    <w:name w:val="Balloon Text"/>
    <w:basedOn w:val="Normal"/>
    <w:link w:val="BalloonTextChar"/>
    <w:uiPriority w:val="99"/>
    <w:semiHidden/>
    <w:unhideWhenUsed/>
    <w:rsid w:val="003C5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BC9"/>
    <w:rPr>
      <w:rFonts w:ascii="Tahoma" w:hAnsi="Tahoma" w:cs="Tahoma"/>
      <w:sz w:val="16"/>
      <w:szCs w:val="16"/>
    </w:rPr>
  </w:style>
  <w:style w:type="character" w:customStyle="1" w:styleId="NoSpacingChar">
    <w:name w:val="No Spacing Char"/>
    <w:basedOn w:val="DefaultParagraphFont"/>
    <w:link w:val="NoSpacing"/>
    <w:uiPriority w:val="1"/>
    <w:rsid w:val="000B3BF5"/>
  </w:style>
  <w:style w:type="paragraph" w:styleId="TOCHeading">
    <w:name w:val="TOC Heading"/>
    <w:basedOn w:val="Heading1"/>
    <w:next w:val="Normal"/>
    <w:uiPriority w:val="39"/>
    <w:semiHidden/>
    <w:unhideWhenUsed/>
    <w:qFormat/>
    <w:rsid w:val="006405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6405E8"/>
    <w:pPr>
      <w:spacing w:after="100"/>
    </w:pPr>
  </w:style>
  <w:style w:type="character" w:styleId="Hyperlink">
    <w:name w:val="Hyperlink"/>
    <w:basedOn w:val="DefaultParagraphFont"/>
    <w:uiPriority w:val="99"/>
    <w:unhideWhenUsed/>
    <w:rsid w:val="006405E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1E2F-92FF-4790-9240-A1447EC80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4648</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ANNUAL REPORT FOR THE YEAR 2014-15</vt:lpstr>
    </vt:vector>
  </TitlesOfParts>
  <Company/>
  <LinksUpToDate>false</LinksUpToDate>
  <CharactersWithSpaces>31086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2014-15</dc:title>
  <dc:creator>lenovo</dc:creator>
  <cp:lastModifiedBy>lenovo</cp:lastModifiedBy>
  <cp:revision>15</cp:revision>
  <dcterms:created xsi:type="dcterms:W3CDTF">2015-05-05T05:49:00Z</dcterms:created>
  <dcterms:modified xsi:type="dcterms:W3CDTF">2015-05-08T05:49:00Z</dcterms:modified>
</cp:coreProperties>
</file>